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A1C5B" w14:textId="7E5EE069" w:rsidR="00A16969" w:rsidRPr="00C30C5F" w:rsidRDefault="177ACD79" w:rsidP="58E0A18C">
      <w:pPr>
        <w:spacing w:line="360" w:lineRule="auto"/>
        <w:jc w:val="center"/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</w:pPr>
      <w:r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>11</w:t>
      </w:r>
      <w:r w:rsidR="63F0A576"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>5</w:t>
      </w:r>
      <w:r w:rsidR="1A5A971C"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 xml:space="preserve"> </w:t>
      </w:r>
      <w:r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>年</w:t>
      </w:r>
      <w:r w:rsidR="3835CB97"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 xml:space="preserve"> </w:t>
      </w:r>
      <w:r w:rsidR="211293F9"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>5</w:t>
      </w:r>
      <w:r w:rsidR="1A5A971C"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 xml:space="preserve"> </w:t>
      </w:r>
      <w:r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>月</w:t>
      </w:r>
      <w:r w:rsidR="79DBBAFD" w:rsidRPr="58E0A18C">
        <w:rPr>
          <w:rFonts w:ascii="Microsoft JhengHei" w:eastAsia="Microsoft JhengHei" w:hAnsi="Microsoft JhengHei" w:cs="Arial"/>
          <w:b/>
          <w:bCs/>
          <w:color w:val="000000" w:themeColor="text1"/>
          <w:sz w:val="28"/>
          <w:szCs w:val="28"/>
        </w:rPr>
        <w:t>台灣塑膠產業出口市場動能評析報告</w:t>
      </w:r>
    </w:p>
    <w:p w14:paraId="5A2DBEF4" w14:textId="5D6703BF" w:rsidR="00B12477" w:rsidRPr="00C30C5F" w:rsidRDefault="06F9038E" w:rsidP="00123584">
      <w:pPr>
        <w:wordWrap w:val="0"/>
        <w:spacing w:line="360" w:lineRule="auto"/>
        <w:jc w:val="right"/>
        <w:rPr>
          <w:rFonts w:ascii="Microsoft JhengHei" w:eastAsia="Microsoft JhengHei" w:hAnsi="Microsoft JhengHei" w:cs="Arial"/>
          <w:color w:val="000000" w:themeColor="text1"/>
        </w:rPr>
      </w:pPr>
      <w:r w:rsidRPr="58E0A18C">
        <w:rPr>
          <w:rFonts w:ascii="Microsoft JhengHei" w:eastAsia="Microsoft JhengHei" w:hAnsi="Microsoft JhengHei" w:cs="Arial"/>
          <w:color w:val="000000" w:themeColor="text1"/>
        </w:rPr>
        <w:t xml:space="preserve">塑膠工業技術發展中心 </w:t>
      </w:r>
      <w:r w:rsidR="3FD6FACF" w:rsidRPr="58E0A18C">
        <w:rPr>
          <w:rFonts w:ascii="Microsoft JhengHei" w:eastAsia="Microsoft JhengHei" w:hAnsi="Microsoft JhengHei" w:cs="Arial"/>
          <w:color w:val="000000" w:themeColor="text1"/>
        </w:rPr>
        <w:t>115</w:t>
      </w:r>
      <w:r w:rsidR="121EE9DF" w:rsidRPr="58E0A18C">
        <w:rPr>
          <w:rFonts w:ascii="Microsoft JhengHei" w:eastAsia="Microsoft JhengHei" w:hAnsi="Microsoft JhengHei" w:cs="Arial"/>
          <w:color w:val="000000" w:themeColor="text1"/>
        </w:rPr>
        <w:t xml:space="preserve"> </w:t>
      </w:r>
      <w:r w:rsidRPr="58E0A18C">
        <w:rPr>
          <w:rFonts w:ascii="Microsoft JhengHei" w:eastAsia="Microsoft JhengHei" w:hAnsi="Microsoft JhengHei" w:cs="Arial"/>
          <w:color w:val="000000" w:themeColor="text1"/>
        </w:rPr>
        <w:t>年</w:t>
      </w:r>
      <w:r w:rsidR="5C4E142E" w:rsidRPr="58E0A18C">
        <w:rPr>
          <w:rFonts w:ascii="Microsoft JhengHei" w:eastAsia="Microsoft JhengHei" w:hAnsi="Microsoft JhengHei" w:cs="Arial"/>
          <w:color w:val="000000" w:themeColor="text1"/>
        </w:rPr>
        <w:t xml:space="preserve"> </w:t>
      </w:r>
      <w:r w:rsidR="55DB6B61" w:rsidRPr="58E0A18C">
        <w:rPr>
          <w:rFonts w:ascii="Microsoft JhengHei" w:eastAsia="Microsoft JhengHei" w:hAnsi="Microsoft JhengHei" w:cs="Arial"/>
          <w:color w:val="000000" w:themeColor="text1"/>
        </w:rPr>
        <w:t>0</w:t>
      </w:r>
      <w:r w:rsidR="211293F9" w:rsidRPr="58E0A18C">
        <w:rPr>
          <w:rFonts w:ascii="Microsoft JhengHei" w:eastAsia="Microsoft JhengHei" w:hAnsi="Microsoft JhengHei" w:cs="Arial"/>
          <w:color w:val="000000" w:themeColor="text1"/>
        </w:rPr>
        <w:t>6</w:t>
      </w:r>
      <w:r w:rsidR="5C4E142E" w:rsidRPr="58E0A18C">
        <w:rPr>
          <w:rFonts w:ascii="Microsoft JhengHei" w:eastAsia="Microsoft JhengHei" w:hAnsi="Microsoft JhengHei" w:cs="Arial"/>
          <w:color w:val="000000" w:themeColor="text1"/>
        </w:rPr>
        <w:t xml:space="preserve"> </w:t>
      </w:r>
      <w:r w:rsidRPr="58E0A18C">
        <w:rPr>
          <w:rFonts w:ascii="Microsoft JhengHei" w:eastAsia="Microsoft JhengHei" w:hAnsi="Microsoft JhengHei" w:cs="Arial"/>
          <w:color w:val="000000" w:themeColor="text1"/>
        </w:rPr>
        <w:t>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0C5F" w:rsidRPr="00C30C5F" w14:paraId="4282779B" w14:textId="77777777" w:rsidTr="73DC89FC">
        <w:tc>
          <w:tcPr>
            <w:tcW w:w="8296" w:type="dxa"/>
            <w:shd w:val="clear" w:color="auto" w:fill="404040" w:themeFill="text1" w:themeFillTint="BF"/>
          </w:tcPr>
          <w:p w14:paraId="6FC3B84E" w14:textId="240B525D" w:rsidR="00123584" w:rsidRPr="00C30C5F" w:rsidRDefault="00123584" w:rsidP="00123584">
            <w:pPr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000000" w:themeColor="text1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</w:rPr>
              <w:t>摘要與關鍵觀察</w:t>
            </w:r>
          </w:p>
        </w:tc>
      </w:tr>
      <w:tr w:rsidR="00C30C5F" w:rsidRPr="00C30C5F" w14:paraId="41491DB9" w14:textId="77777777" w:rsidTr="73DC89FC">
        <w:tblPrEx>
          <w:tblCellMar>
            <w:left w:w="28" w:type="dxa"/>
            <w:right w:w="28" w:type="dxa"/>
          </w:tblCellMar>
        </w:tblPrEx>
        <w:tc>
          <w:tcPr>
            <w:tcW w:w="8296" w:type="dxa"/>
          </w:tcPr>
          <w:p w14:paraId="1DB5B289" w14:textId="0804ED5A" w:rsidR="00F24068" w:rsidRPr="00F24068" w:rsidRDefault="00F24068" w:rsidP="00F24068">
            <w:pPr>
              <w:pStyle w:val="a4"/>
              <w:numPr>
                <w:ilvl w:val="0"/>
                <w:numId w:val="20"/>
              </w:numPr>
              <w:spacing w:beforeLines="50" w:before="180" w:afterLines="50" w:after="180" w:line="0" w:lineRule="atLeast"/>
              <w:ind w:leftChars="0"/>
              <w:jc w:val="both"/>
              <w:rPr>
                <w:rFonts w:ascii="Microsoft JhengHei" w:eastAsia="Microsoft JhengHei" w:hAnsi="Microsoft JhengHei"/>
                <w:color w:val="000000" w:themeColor="text1"/>
                <w:szCs w:val="24"/>
              </w:rPr>
            </w:pPr>
            <w:r w:rsidRPr="00F24068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t>115年5月台灣整體出口784.8億美元、年增51.7%，主要受AI需求帶動；塑膠及其製品出口15.06億美元、年增4.86%。惟剔除物價後實質增幅有限，需求面復甦力道仍待觀察</w:t>
            </w:r>
            <w:r w:rsidRPr="00F24068">
              <w:rPr>
                <w:rFonts w:ascii="Microsoft JhengHei" w:eastAsia="Microsoft JhengHei" w:hAnsi="Microsoft JhengHei" w:hint="eastAsia"/>
                <w:color w:val="000000" w:themeColor="text1"/>
                <w:szCs w:val="24"/>
              </w:rPr>
              <w:t>。</w:t>
            </w:r>
          </w:p>
          <w:p w14:paraId="20C554FA" w14:textId="2C754B8C" w:rsidR="00931C08" w:rsidRPr="00111F92" w:rsidRDefault="00931C08" w:rsidP="00A9703C">
            <w:pPr>
              <w:pStyle w:val="a4"/>
              <w:numPr>
                <w:ilvl w:val="0"/>
                <w:numId w:val="20"/>
              </w:numPr>
              <w:spacing w:beforeLines="50" w:before="180" w:afterLines="50" w:after="180" w:line="0" w:lineRule="atLeast"/>
              <w:ind w:leftChars="0"/>
              <w:jc w:val="both"/>
              <w:rPr>
                <w:rFonts w:ascii="Microsoft JhengHei" w:eastAsia="Microsoft JhengHei" w:hAnsi="Microsoft JhengHei"/>
                <w:szCs w:val="24"/>
              </w:rPr>
            </w:pPr>
            <w:r w:rsidRPr="00F24068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t>從市場面觀察，</w:t>
            </w:r>
            <w:r w:rsidR="00F24068" w:rsidRPr="00F24068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t>最大市場中國大陸出口3.70億美元、年增3.99%，成長相對溫和；日本受日幣貶值、製造業補庫及夏季備貨帶動年增43.81%，香港亦年增37.23%，為本月成長較明顯之市場；美國年減4.88%、越南年減20.11%，後者短期或受</w:t>
            </w:r>
            <w:r w:rsidR="00F24068" w:rsidRPr="00111F92">
              <w:rPr>
                <w:rFonts w:ascii="Microsoft JhengHei" w:eastAsia="Microsoft JhengHei" w:hAnsi="Microsoft JhengHei"/>
                <w:szCs w:val="24"/>
              </w:rPr>
              <w:t>庫存調整影響。</w:t>
            </w:r>
          </w:p>
          <w:p w14:paraId="42595ECE" w14:textId="6D9E3F63" w:rsidR="00A9703C" w:rsidRPr="00F24068" w:rsidRDefault="00931C08" w:rsidP="00A9703C">
            <w:pPr>
              <w:pStyle w:val="a4"/>
              <w:numPr>
                <w:ilvl w:val="0"/>
                <w:numId w:val="20"/>
              </w:numPr>
              <w:spacing w:beforeLines="50" w:before="180" w:afterLines="50" w:after="180" w:line="0" w:lineRule="atLeast"/>
              <w:ind w:leftChars="0"/>
              <w:jc w:val="both"/>
              <w:rPr>
                <w:rFonts w:ascii="Microsoft JhengHei" w:eastAsia="Microsoft JhengHei" w:hAnsi="Microsoft JhengHei"/>
                <w:color w:val="000000" w:themeColor="text1"/>
                <w:szCs w:val="24"/>
              </w:rPr>
            </w:pPr>
            <w:r w:rsidRPr="00111F92">
              <w:rPr>
                <w:rFonts w:ascii="Microsoft JhengHei" w:eastAsia="Microsoft JhengHei" w:hAnsi="Microsoft JhengHei"/>
              </w:rPr>
              <w:t>從產品面觀察，本月成長主要來自聚酯、環氧樹脂、薄膜及膠帶等材料，反映電子、塗料、接著劑及包裝需求仍具一定基礎。相對之下，聚氯乙烯年減27.75%、為衰退最大品項，AB</w:t>
            </w:r>
            <w:r w:rsidR="007304EB" w:rsidRPr="00111F92">
              <w:rPr>
                <w:rFonts w:ascii="Microsoft JhengHei" w:eastAsia="Microsoft JhengHei" w:hAnsi="Microsoft JhengHei"/>
              </w:rPr>
              <w:t>S</w:t>
            </w:r>
            <w:r w:rsidRPr="00111F92">
              <w:rPr>
                <w:rFonts w:ascii="Microsoft JhengHei" w:eastAsia="Microsoft JhengHei" w:hAnsi="Microsoft JhengHei"/>
              </w:rPr>
              <w:t>與聚碳酸樹脂亦呈年減，顯示傳統大宗樹脂受國際供需與價格競爭影響，出口表現</w:t>
            </w:r>
            <w:r w:rsidRPr="73DC89FC">
              <w:rPr>
                <w:rFonts w:ascii="Microsoft JhengHei" w:eastAsia="Microsoft JhengHei" w:hAnsi="Microsoft JhengHei"/>
                <w:color w:val="000000" w:themeColor="text1"/>
              </w:rPr>
              <w:t>相對偏弱。</w:t>
            </w:r>
          </w:p>
          <w:p w14:paraId="331F3B08" w14:textId="0A951FF0" w:rsidR="00F24068" w:rsidRPr="00A31881" w:rsidRDefault="00A9703C" w:rsidP="00F24068">
            <w:pPr>
              <w:pStyle w:val="a4"/>
              <w:numPr>
                <w:ilvl w:val="0"/>
                <w:numId w:val="20"/>
              </w:numPr>
              <w:snapToGrid w:val="0"/>
              <w:spacing w:beforeLines="50" w:before="180" w:afterLines="50" w:after="180" w:line="0" w:lineRule="atLeast"/>
              <w:ind w:leftChars="0"/>
              <w:jc w:val="both"/>
              <w:rPr>
                <w:rFonts w:ascii="Microsoft JhengHei" w:eastAsia="Microsoft JhengHei" w:hAnsi="Microsoft JhengHei" w:cs="Arial"/>
                <w:color w:val="000000" w:themeColor="text1"/>
              </w:rPr>
            </w:pPr>
            <w:r w:rsidRPr="00A31881">
              <w:rPr>
                <w:rFonts w:ascii="Microsoft JhengHei" w:eastAsia="Microsoft JhengHei" w:hAnsi="Microsoft JhengHei" w:hint="eastAsia"/>
                <w:color w:val="000000" w:themeColor="text1"/>
                <w:szCs w:val="24"/>
              </w:rPr>
              <w:t>對策略面而言，</w:t>
            </w:r>
            <w:r w:rsidR="00F24068" w:rsidRPr="00A31881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t>短期宜維繫日、美既有市場並開拓印度等新興市場，同時深化高階特用塑膠發展以提升附加價值；中長期則應及早因應歐盟PPWR、ESPR及數位產品護照等永續規範，將相關整備轉化為市場進入能力，並將生質與生物可分解材料列為發展方向。</w:t>
            </w:r>
          </w:p>
          <w:p w14:paraId="31C4E7A4" w14:textId="203BD9CC" w:rsidR="00894CE3" w:rsidRPr="00F24068" w:rsidRDefault="002A641D" w:rsidP="00F24068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Microsoft JhengHei" w:eastAsia="Microsoft JhengHei" w:hAnsi="Microsoft JhengHei" w:cs="Arial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22F52627" wp14:editId="1F3FE01F">
                  <wp:extent cx="5274310" cy="1944204"/>
                  <wp:effectExtent l="0" t="0" r="2540" b="18415"/>
                  <wp:docPr id="2" name="圖表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458AD9-A3AD-458C-9DE1-2589213BC4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0ECF4EE4" w14:textId="77777777" w:rsidR="00894CE3" w:rsidRDefault="00894CE3" w:rsidP="00894CE3">
            <w:pPr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sz w:val="20"/>
              </w:rPr>
            </w:pPr>
            <w:r w:rsidRPr="00500F94">
              <w:rPr>
                <w:rFonts w:ascii="Microsoft JhengHei" w:eastAsia="Microsoft JhengHei" w:hAnsi="Microsoft JhengHei" w:cs="Arial" w:hint="eastAsia"/>
                <w:color w:val="000000" w:themeColor="text1"/>
                <w:sz w:val="20"/>
              </w:rPr>
              <w:t>資料來源：海關進出口統計資料庫；塑膠中心整理。</w:t>
            </w:r>
          </w:p>
          <w:p w14:paraId="409F7B47" w14:textId="5E08F5F5" w:rsidR="00E16607" w:rsidRPr="00894CE3" w:rsidRDefault="00894CE3" w:rsidP="00894CE3">
            <w:pPr>
              <w:spacing w:line="0" w:lineRule="atLeast"/>
              <w:jc w:val="center"/>
              <w:rPr>
                <w:rFonts w:ascii="Microsoft JhengHei" w:eastAsia="Microsoft JhengHei" w:hAnsi="Microsoft JhengHei" w:cs="Arial"/>
                <w:color w:val="000000" w:themeColor="text1"/>
                <w:sz w:val="20"/>
              </w:rPr>
            </w:pPr>
            <w:r w:rsidRPr="00894CE3">
              <w:rPr>
                <w:rFonts w:ascii="Microsoft JhengHei" w:eastAsia="Microsoft JhengHei" w:hAnsi="Microsoft JhengHei" w:hint="eastAsia"/>
                <w:color w:val="000000" w:themeColor="text1"/>
                <w:szCs w:val="24"/>
              </w:rPr>
              <w:t xml:space="preserve">圖 </w:t>
            </w:r>
            <w:r w:rsidRPr="00894CE3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fldChar w:fldCharType="begin"/>
            </w:r>
            <w:r w:rsidRPr="00894CE3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instrText xml:space="preserve"> </w:instrText>
            </w:r>
            <w:r w:rsidRPr="00894CE3">
              <w:rPr>
                <w:rFonts w:ascii="Microsoft JhengHei" w:eastAsia="Microsoft JhengHei" w:hAnsi="Microsoft JhengHei" w:hint="eastAsia"/>
                <w:color w:val="000000" w:themeColor="text1"/>
                <w:szCs w:val="24"/>
              </w:rPr>
              <w:instrText>SEQ 圖 \* ARABIC</w:instrText>
            </w:r>
            <w:r w:rsidRPr="00894CE3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instrText xml:space="preserve"> </w:instrText>
            </w:r>
            <w:r w:rsidRPr="00894CE3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fldChar w:fldCharType="separate"/>
            </w:r>
            <w:r w:rsidRPr="00894CE3">
              <w:rPr>
                <w:rFonts w:ascii="Microsoft JhengHei" w:eastAsia="Microsoft JhengHei" w:hAnsi="Microsoft JhengHei"/>
                <w:noProof/>
                <w:color w:val="000000" w:themeColor="text1"/>
                <w:szCs w:val="24"/>
              </w:rPr>
              <w:t>1</w:t>
            </w:r>
            <w:r w:rsidRPr="00894CE3">
              <w:rPr>
                <w:rFonts w:ascii="Microsoft JhengHei" w:eastAsia="Microsoft JhengHei" w:hAnsi="Microsoft JhengHei"/>
                <w:color w:val="000000" w:themeColor="text1"/>
                <w:szCs w:val="24"/>
              </w:rPr>
              <w:fldChar w:fldCharType="end"/>
            </w:r>
            <w:r w:rsidRPr="00894CE3">
              <w:rPr>
                <w:rFonts w:ascii="Microsoft JhengHei" w:eastAsia="Microsoft JhengHei" w:hAnsi="Microsoft JhengHei" w:hint="eastAsia"/>
                <w:color w:val="000000" w:themeColor="text1"/>
                <w:szCs w:val="24"/>
              </w:rPr>
              <w:t>、</w:t>
            </w:r>
            <w:r w:rsidRPr="00894CE3">
              <w:rPr>
                <w:rFonts w:ascii="Microsoft JhengHei" w:eastAsia="Microsoft JhengHei" w:hAnsi="Microsoft JhengHei" w:cs="Arial" w:hint="eastAsia"/>
                <w:color w:val="000000" w:themeColor="text1"/>
                <w:szCs w:val="24"/>
              </w:rPr>
              <w:t>台灣塑膠及其製品-近十年之</w:t>
            </w:r>
            <w:r w:rsidR="002A641D">
              <w:rPr>
                <w:rFonts w:ascii="Microsoft JhengHei" w:eastAsia="Microsoft JhengHei" w:hAnsi="Microsoft JhengHei" w:cs="Arial" w:hint="eastAsia"/>
                <w:color w:val="000000" w:themeColor="text1"/>
                <w:szCs w:val="24"/>
              </w:rPr>
              <w:t>5</w:t>
            </w:r>
            <w:r w:rsidRPr="00894CE3">
              <w:rPr>
                <w:rFonts w:ascii="Microsoft JhengHei" w:eastAsia="Microsoft JhengHei" w:hAnsi="Microsoft JhengHei" w:cs="Arial" w:hint="eastAsia"/>
                <w:color w:val="000000" w:themeColor="text1"/>
                <w:szCs w:val="24"/>
              </w:rPr>
              <w:t>月份出口趨勢</w:t>
            </w:r>
          </w:p>
        </w:tc>
      </w:tr>
    </w:tbl>
    <w:p w14:paraId="21B97CD5" w14:textId="10887AA0" w:rsidR="00780F6D" w:rsidRPr="00C30C5F" w:rsidRDefault="007A66BB" w:rsidP="00B12477">
      <w:pPr>
        <w:pStyle w:val="a4"/>
        <w:numPr>
          <w:ilvl w:val="0"/>
          <w:numId w:val="3"/>
        </w:numPr>
        <w:spacing w:beforeLines="50" w:before="180" w:afterLines="50" w:after="180"/>
        <w:ind w:leftChars="0"/>
        <w:jc w:val="both"/>
        <w:rPr>
          <w:rFonts w:ascii="Microsoft JhengHei" w:eastAsia="Microsoft JhengHei" w:hAnsi="Microsoft JhengHei" w:cs="Arial"/>
          <w:b/>
          <w:color w:val="000000" w:themeColor="text1"/>
        </w:rPr>
      </w:pPr>
      <w:bookmarkStart w:id="0" w:name="_Hlk225526437"/>
      <w:r w:rsidRPr="00C30C5F">
        <w:rPr>
          <w:rFonts w:ascii="Microsoft JhengHei" w:eastAsia="Microsoft JhengHei" w:hAnsi="Microsoft JhengHei" w:cs="Arial" w:hint="eastAsia"/>
          <w:b/>
          <w:color w:val="000000" w:themeColor="text1"/>
        </w:rPr>
        <w:lastRenderedPageBreak/>
        <w:t>總體經濟與國際環境變化對出口之影響</w:t>
      </w:r>
    </w:p>
    <w:p w14:paraId="1C4302D4" w14:textId="59A5652B" w:rsidR="00A45118" w:rsidRPr="00B72AF1" w:rsidRDefault="005D43E0" w:rsidP="00B72AF1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bookmarkStart w:id="1" w:name="_Hlk225526453"/>
      <w:bookmarkEnd w:id="0"/>
      <w:r w:rsidRPr="005D43E0">
        <w:rPr>
          <w:rFonts w:ascii="Microsoft JhengHei" w:eastAsia="Microsoft JhengHei" w:hAnsi="Microsoft JhengHei" w:cs="Arial" w:hint="eastAsia"/>
          <w:color w:val="000000" w:themeColor="text1"/>
        </w:rPr>
        <w:t>115年5月，台灣整體出口784.8億美元</w:t>
      </w:r>
      <w:r>
        <w:rPr>
          <w:rFonts w:ascii="Microsoft JhengHei" w:eastAsia="Microsoft JhengHei" w:hAnsi="Microsoft JhengHei" w:cs="Arial" w:hint="eastAsia"/>
          <w:color w:val="000000" w:themeColor="text1"/>
        </w:rPr>
        <w:t>，</w:t>
      </w:r>
      <w:r w:rsidRPr="005D43E0">
        <w:rPr>
          <w:rFonts w:ascii="Microsoft JhengHei" w:eastAsia="Microsoft JhengHei" w:hAnsi="Microsoft JhengHei" w:cs="Arial" w:hint="eastAsia"/>
          <w:color w:val="000000" w:themeColor="text1"/>
        </w:rPr>
        <w:t>在AI相關需求帶動下續創新高、年增51.7%</w:t>
      </w:r>
      <w:r w:rsidR="00DD2E55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5D43E0">
        <w:rPr>
          <w:rFonts w:ascii="Microsoft JhengHei" w:eastAsia="Microsoft JhengHei" w:hAnsi="Microsoft JhengHei" w:cs="Arial" w:hint="eastAsia"/>
          <w:color w:val="000000" w:themeColor="text1"/>
        </w:rPr>
        <w:t>連31紅</w:t>
      </w:r>
      <w:r w:rsidR="00DD2E55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5D43E0">
        <w:rPr>
          <w:rFonts w:ascii="Microsoft JhengHei" w:eastAsia="Microsoft JhengHei" w:hAnsi="Microsoft JhengHei" w:cs="Arial" w:hint="eastAsia"/>
          <w:color w:val="000000" w:themeColor="text1"/>
        </w:rPr>
        <w:t>，本期塑膠出口</w:t>
      </w:r>
      <w:r>
        <w:rPr>
          <w:rFonts w:ascii="Microsoft JhengHei" w:eastAsia="Microsoft JhengHei" w:hAnsi="Microsoft JhengHei" w:cs="Arial" w:hint="eastAsia"/>
          <w:color w:val="000000" w:themeColor="text1"/>
        </w:rPr>
        <w:t>同受惠</w:t>
      </w:r>
      <w:r w:rsidRPr="005D43E0">
        <w:rPr>
          <w:rFonts w:ascii="Microsoft JhengHei" w:eastAsia="Microsoft JhengHei" w:hAnsi="Microsoft JhengHei" w:cs="Arial" w:hint="eastAsia"/>
          <w:color w:val="000000" w:themeColor="text1"/>
        </w:rPr>
        <w:t>AI驅動的成長</w:t>
      </w:r>
      <w:r>
        <w:rPr>
          <w:rFonts w:ascii="Microsoft JhengHei" w:eastAsia="Microsoft JhengHei" w:hAnsi="Microsoft JhengHei" w:cs="Arial" w:hint="eastAsia"/>
          <w:color w:val="000000" w:themeColor="text1"/>
        </w:rPr>
        <w:t>，</w:t>
      </w:r>
      <w:r w:rsidR="00FA76A7" w:rsidRPr="005D43E0">
        <w:rPr>
          <w:rFonts w:ascii="Microsoft JhengHei" w:eastAsia="Microsoft JhengHei" w:hAnsi="Microsoft JhengHei" w:cs="Arial" w:hint="eastAsia"/>
          <w:color w:val="000000" w:themeColor="text1"/>
        </w:rPr>
        <w:t>出口15.06億美元、年增4.86%，較114年同月</w:t>
      </w:r>
      <w:r w:rsidR="00FA76A7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="00FA76A7" w:rsidRPr="005D43E0">
        <w:rPr>
          <w:rFonts w:ascii="Microsoft JhengHei" w:eastAsia="Microsoft JhengHei" w:hAnsi="Microsoft JhengHei" w:cs="Arial" w:hint="eastAsia"/>
          <w:color w:val="000000" w:themeColor="text1"/>
        </w:rPr>
        <w:t>4.36億美元、年減7.29%</w:t>
      </w:r>
      <w:r w:rsidR="00FA76A7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>
        <w:rPr>
          <w:rFonts w:ascii="Microsoft JhengHei" w:eastAsia="Microsoft JhengHei" w:hAnsi="Microsoft JhengHei" w:cs="Arial" w:hint="eastAsia"/>
          <w:color w:val="000000" w:themeColor="text1"/>
        </w:rPr>
        <w:t>小幅成長，</w:t>
      </w:r>
      <w:r w:rsidRPr="005D43E0">
        <w:rPr>
          <w:rFonts w:ascii="Microsoft JhengHei" w:eastAsia="Microsoft JhengHei" w:hAnsi="Microsoft JhengHei" w:cs="Arial" w:hint="eastAsia"/>
          <w:color w:val="000000" w:themeColor="text1"/>
        </w:rPr>
        <w:t>主要總體經濟因素如下：</w:t>
      </w:r>
    </w:p>
    <w:p w14:paraId="2BF0D512" w14:textId="1607D228" w:rsidR="00061142" w:rsidRDefault="00027B6F" w:rsidP="00061142">
      <w:pPr>
        <w:pStyle w:val="a4"/>
        <w:numPr>
          <w:ilvl w:val="0"/>
          <w:numId w:val="25"/>
        </w:numPr>
        <w:snapToGrid w:val="0"/>
        <w:spacing w:beforeLines="50" w:before="180" w:afterLines="50" w:after="180"/>
        <w:ind w:leftChars="0"/>
        <w:jc w:val="both"/>
        <w:rPr>
          <w:rFonts w:ascii="Microsoft JhengHei" w:eastAsia="Microsoft JhengHei" w:hAnsi="Microsoft JhengHei" w:cs="Arial"/>
          <w:b/>
          <w:color w:val="000000" w:themeColor="text1"/>
        </w:rPr>
      </w:pPr>
      <w:r w:rsidRPr="00027B6F">
        <w:rPr>
          <w:rFonts w:ascii="Microsoft JhengHei" w:eastAsia="Microsoft JhengHei" w:hAnsi="Microsoft JhengHei" w:cs="Arial" w:hint="eastAsia"/>
          <w:b/>
          <w:bCs/>
          <w:color w:val="000000" w:themeColor="text1"/>
        </w:rPr>
        <w:t>需求端：</w:t>
      </w:r>
      <w:r w:rsidR="006C5093" w:rsidRPr="006C5093">
        <w:rPr>
          <w:rFonts w:ascii="Microsoft JhengHei" w:eastAsia="Microsoft JhengHei" w:hAnsi="Microsoft JhengHei" w:cs="Arial"/>
          <w:b/>
          <w:color w:val="000000" w:themeColor="text1"/>
        </w:rPr>
        <w:t>AI帶動整體出口創高，塑膠需求成長相對溫和</w:t>
      </w:r>
    </w:p>
    <w:p w14:paraId="602C4192" w14:textId="77D6530F" w:rsidR="008C79EF" w:rsidRPr="008C79EF" w:rsidRDefault="008C79EF" w:rsidP="008C79EF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C79EF">
        <w:rPr>
          <w:rFonts w:ascii="Microsoft JhengHei" w:eastAsia="Microsoft JhengHei" w:hAnsi="Microsoft JhengHei" w:cs="Arial" w:hint="eastAsia"/>
          <w:color w:val="000000" w:themeColor="text1"/>
        </w:rPr>
        <w:t>2026年5月台灣整體出口動能主要來自AI基礎設施建置帶動的先進晶片與伺服器需求。就塑膠產業而言，主要外銷市場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C79EF">
        <w:rPr>
          <w:rFonts w:ascii="Microsoft JhengHei" w:eastAsia="Microsoft JhengHei" w:hAnsi="Microsoft JhengHei" w:cs="Arial" w:hint="eastAsia"/>
          <w:color w:val="000000" w:themeColor="text1"/>
        </w:rPr>
        <w:t>中國大陸與香港、東協、</w:t>
      </w:r>
      <w:proofErr w:type="gramStart"/>
      <w:r w:rsidRPr="008C79EF">
        <w:rPr>
          <w:rFonts w:ascii="Microsoft JhengHei" w:eastAsia="Microsoft JhengHei" w:hAnsi="Microsoft JhengHei" w:cs="Arial" w:hint="eastAsia"/>
          <w:color w:val="000000" w:themeColor="text1"/>
        </w:rPr>
        <w:t>美國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C79EF">
        <w:rPr>
          <w:rFonts w:ascii="Microsoft JhengHei" w:eastAsia="Microsoft JhengHei" w:hAnsi="Microsoft JhengHei" w:cs="Arial" w:hint="eastAsia"/>
          <w:color w:val="000000" w:themeColor="text1"/>
        </w:rPr>
        <w:t>的下游加工與終端消費需求大致維持</w:t>
      </w:r>
      <w:proofErr w:type="gramEnd"/>
      <w:r w:rsidRPr="008C79EF">
        <w:rPr>
          <w:rFonts w:ascii="Microsoft JhengHei" w:eastAsia="Microsoft JhengHei" w:hAnsi="Microsoft JhengHei" w:cs="Arial" w:hint="eastAsia"/>
          <w:color w:val="000000" w:themeColor="text1"/>
        </w:rPr>
        <w:t>，但成長幅度明顯低於電子產品；傳產類接單的年增幅遠不及資通與電子零組件，泛用塑膠的接單成長相對溫和。整體全球終端需求偏向審慎，本期塑膠出口較依賴既有客戶的常態性備料，而非新增需求的顯著擴張。</w:t>
      </w:r>
    </w:p>
    <w:p w14:paraId="10C21B1A" w14:textId="29084ACA" w:rsidR="008C79EF" w:rsidRDefault="00027B6F" w:rsidP="008C79EF">
      <w:pPr>
        <w:pStyle w:val="a4"/>
        <w:numPr>
          <w:ilvl w:val="0"/>
          <w:numId w:val="25"/>
        </w:numPr>
        <w:snapToGrid w:val="0"/>
        <w:spacing w:beforeLines="50" w:before="180" w:afterLines="50" w:after="180"/>
        <w:ind w:leftChars="0"/>
        <w:jc w:val="both"/>
        <w:rPr>
          <w:rFonts w:ascii="Microsoft JhengHei" w:eastAsia="Microsoft JhengHei" w:hAnsi="Microsoft JhengHei" w:cs="Arial"/>
          <w:b/>
          <w:color w:val="000000" w:themeColor="text1"/>
        </w:rPr>
      </w:pPr>
      <w:r w:rsidRPr="00027B6F">
        <w:rPr>
          <w:rFonts w:ascii="Microsoft JhengHei" w:eastAsia="Microsoft JhengHei" w:hAnsi="Microsoft JhengHei" w:cs="Arial" w:hint="eastAsia"/>
          <w:b/>
          <w:color w:val="000000" w:themeColor="text1"/>
        </w:rPr>
        <w:t>成本與匯率端：</w:t>
      </w:r>
      <w:r w:rsidR="006C5093" w:rsidRPr="006C5093">
        <w:rPr>
          <w:rFonts w:ascii="Microsoft JhengHei" w:eastAsia="Microsoft JhengHei" w:hAnsi="Microsoft JhengHei" w:cs="Arial"/>
          <w:b/>
          <w:color w:val="000000" w:themeColor="text1"/>
        </w:rPr>
        <w:t>原油走高墊高生產成本，新台幣升值壓縮泛用塑膠利潤</w:t>
      </w:r>
    </w:p>
    <w:p w14:paraId="0D1ABC7B" w14:textId="0300F2EE" w:rsidR="008C79EF" w:rsidRDefault="008C79EF" w:rsidP="008C79EF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C79EF">
        <w:rPr>
          <w:rFonts w:ascii="Microsoft JhengHei" w:eastAsia="Microsoft JhengHei" w:hAnsi="Microsoft JhengHei" w:cs="Arial" w:hint="eastAsia"/>
          <w:color w:val="000000" w:themeColor="text1"/>
        </w:rPr>
        <w:t>5月</w:t>
      </w:r>
      <w:r>
        <w:rPr>
          <w:rFonts w:ascii="Microsoft JhengHei" w:eastAsia="Microsoft JhengHei" w:hAnsi="Microsoft JhengHei" w:cs="Arial" w:hint="eastAsia"/>
          <w:color w:val="000000" w:themeColor="text1"/>
        </w:rPr>
        <w:t>份仍</w:t>
      </w:r>
      <w:r w:rsidRPr="008C79EF">
        <w:rPr>
          <w:rFonts w:ascii="Microsoft JhengHei" w:eastAsia="Microsoft JhengHei" w:hAnsi="Microsoft JhengHei" w:cs="Arial" w:hint="eastAsia"/>
          <w:color w:val="000000" w:themeColor="text1"/>
        </w:rPr>
        <w:t>受美伊衝突影響、國際原油價格走高，帶動進口物價年增22.33%，為1980年7月以來最大漲幅；石油腦等石化原料成本隨之上升，直接墊高泛用塑膠的生產成本，同時推升出口單價。匯率面，新台幣自2025年以來對美元走升，以美元報價接單的塑膠出口商面臨匯兌損失與報價重算壓力；此一影響對毛利較薄的泛用塑膠較為明顯，對高階特用塑膠的相對衝擊較小。</w:t>
      </w:r>
    </w:p>
    <w:p w14:paraId="79593779" w14:textId="7B7E67C5" w:rsidR="00027B6F" w:rsidRPr="003627C4" w:rsidRDefault="4CF6EBDC" w:rsidP="003627C4">
      <w:pPr>
        <w:pStyle w:val="a4"/>
        <w:numPr>
          <w:ilvl w:val="0"/>
          <w:numId w:val="25"/>
        </w:numPr>
        <w:snapToGrid w:val="0"/>
        <w:spacing w:beforeLines="50" w:before="180" w:afterLines="50" w:after="180"/>
        <w:ind w:leftChars="0"/>
        <w:jc w:val="both"/>
        <w:rPr>
          <w:rFonts w:ascii="Microsoft JhengHei" w:eastAsia="Microsoft JhengHei" w:hAnsi="Microsoft JhengHei" w:cs="Arial"/>
          <w:b/>
          <w:bCs/>
          <w:color w:val="000000" w:themeColor="text1"/>
        </w:rPr>
      </w:pPr>
      <w:r w:rsidRPr="73DC89FC">
        <w:rPr>
          <w:rFonts w:ascii="Microsoft JhengHei" w:eastAsia="Microsoft JhengHei" w:hAnsi="Microsoft JhengHei" w:cs="Arial"/>
          <w:b/>
          <w:bCs/>
          <w:color w:val="000000" w:themeColor="text1"/>
        </w:rPr>
        <w:t>政策法規端：</w:t>
      </w:r>
      <w:r w:rsidR="5A40C1BA" w:rsidRPr="73DC89FC">
        <w:rPr>
          <w:rFonts w:ascii="Microsoft JhengHei" w:eastAsia="Microsoft JhengHei" w:hAnsi="Microsoft JhengHei" w:cs="Arial"/>
          <w:b/>
          <w:bCs/>
          <w:color w:val="000000" w:themeColor="text1"/>
        </w:rPr>
        <w:t>台美關稅調降收斂不確定性，歐盟環保規範構成中長期挑戰</w:t>
      </w:r>
    </w:p>
    <w:p w14:paraId="1822608C" w14:textId="4C9ED1DA" w:rsidR="00061142" w:rsidRDefault="68DF2308" w:rsidP="1418ED3C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b/>
          <w:bCs/>
          <w:color w:val="000000" w:themeColor="text1"/>
        </w:rPr>
      </w:pPr>
      <w:r w:rsidRPr="56F0BF51">
        <w:rPr>
          <w:rFonts w:ascii="Microsoft JhengHei" w:eastAsia="Microsoft JhengHei" w:hAnsi="Microsoft JhengHei" w:cs="Arial"/>
          <w:color w:val="000000" w:themeColor="text1"/>
        </w:rPr>
        <w:t>台美</w:t>
      </w:r>
      <w:r w:rsidRPr="00111F92">
        <w:rPr>
          <w:rFonts w:ascii="Microsoft JhengHei" w:eastAsia="Microsoft JhengHei" w:hAnsi="Microsoft JhengHei" w:cs="Arial"/>
        </w:rPr>
        <w:t>對等關稅歷經調整，最終稅率由初期之32%調降至15%，貿易條件不確定性隨之收斂，有助於對美出口之報價與接單規劃</w:t>
      </w:r>
      <w:r w:rsidR="005D43E0" w:rsidRPr="00111F92">
        <w:rPr>
          <w:rFonts w:ascii="Microsoft JhengHei" w:eastAsia="Microsoft JhengHei" w:hAnsi="Microsoft JhengHei" w:cs="Arial"/>
        </w:rPr>
        <w:t>。歐盟方面，</w:t>
      </w:r>
      <w:r w:rsidR="5D856457" w:rsidRPr="00111F92">
        <w:rPr>
          <w:rFonts w:ascii="Microsoft JhengHei" w:eastAsia="Microsoft JhengHei" w:hAnsi="Microsoft JhengHei" w:cs="Arial"/>
        </w:rPr>
        <w:t>包裝及包裝廢棄物規範(PPWR)自2026年8月起適用，對包裝用塑膠之再生料含量與可回收設計構成直接要求；永續產品生態設計規範(ESPR)與數位產品護照(DPP)則以最終產品為對象，尚未將塑膠列為強制適用產品群，惟下游成品納管後將間接提高對上游材料之揭露與追溯要求，構成中長期挑戰。</w:t>
      </w:r>
      <w:r w:rsidR="005D43E0" w:rsidRPr="00111F92">
        <w:rPr>
          <w:rFonts w:ascii="Microsoft JhengHei" w:eastAsia="Microsoft JhengHei" w:hAnsi="Microsoft JhengHei" w:cs="Arial"/>
        </w:rPr>
        <w:t>碳邊境調整機制(CBAM)</w:t>
      </w:r>
      <w:r w:rsidR="00D63F4E" w:rsidRPr="00111F92">
        <w:t xml:space="preserve"> </w:t>
      </w:r>
      <w:r w:rsidR="00D63F4E" w:rsidRPr="00111F92">
        <w:rPr>
          <w:rFonts w:ascii="Microsoft JhengHei" w:eastAsia="Microsoft JhengHei" w:hAnsi="Microsoft JhengHei" w:cs="Arial"/>
        </w:rPr>
        <w:t>現行涵蓋範圍尚未包含塑膠，惟未來是否擴及仍值得關注</w:t>
      </w:r>
      <w:r w:rsidR="005D43E0" w:rsidRPr="00111F92">
        <w:rPr>
          <w:rFonts w:ascii="Microsoft JhengHei" w:eastAsia="Microsoft JhengHei" w:hAnsi="Microsoft JhengHei" w:cs="Arial"/>
        </w:rPr>
        <w:t>。此外，政府針對受關稅影響產業提出之貿易融資、輸出保險等措施，為出口商提供階段性的資金後盾</w:t>
      </w:r>
      <w:r w:rsidR="005D43E0" w:rsidRPr="56F0BF51">
        <w:rPr>
          <w:rFonts w:ascii="Microsoft JhengHei" w:eastAsia="Microsoft JhengHei" w:hAnsi="Microsoft JhengHei" w:cs="Arial"/>
          <w:color w:val="000000" w:themeColor="text1"/>
        </w:rPr>
        <w:t>。</w:t>
      </w:r>
      <w:r w:rsidR="005D43E0" w:rsidRPr="56F0BF51">
        <w:rPr>
          <w:rFonts w:ascii="Microsoft JhengHei" w:eastAsia="Microsoft JhengHei" w:hAnsi="Microsoft JhengHei" w:cs="Arial"/>
          <w:b/>
          <w:bCs/>
          <w:color w:val="000000" w:themeColor="text1"/>
        </w:rPr>
        <w:br w:type="page"/>
      </w:r>
    </w:p>
    <w:p w14:paraId="0452A2D6" w14:textId="41DEB714" w:rsidR="00D21326" w:rsidRPr="00C30C5F" w:rsidRDefault="00DE17FA" w:rsidP="00D21326">
      <w:pPr>
        <w:pStyle w:val="a4"/>
        <w:numPr>
          <w:ilvl w:val="0"/>
          <w:numId w:val="3"/>
        </w:numPr>
        <w:spacing w:beforeLines="50" w:before="180" w:afterLines="50" w:after="180"/>
        <w:ind w:leftChars="0" w:left="284" w:hanging="284"/>
        <w:jc w:val="both"/>
        <w:rPr>
          <w:rFonts w:ascii="Microsoft JhengHei" w:eastAsia="Microsoft JhengHei" w:hAnsi="Microsoft JhengHei" w:cs="Arial"/>
          <w:b/>
          <w:color w:val="000000" w:themeColor="text1"/>
        </w:rPr>
      </w:pPr>
      <w:r w:rsidRPr="00C30C5F">
        <w:rPr>
          <w:rFonts w:ascii="Microsoft JhengHei" w:eastAsia="Microsoft JhengHei" w:hAnsi="Microsoft JhengHei" w:cs="Arial" w:hint="eastAsia"/>
          <w:b/>
          <w:color w:val="000000" w:themeColor="text1"/>
        </w:rPr>
        <w:t>主要出口</w:t>
      </w:r>
      <w:r w:rsidR="00D21326" w:rsidRPr="00C30C5F">
        <w:rPr>
          <w:rFonts w:ascii="Microsoft JhengHei" w:eastAsia="Microsoft JhengHei" w:hAnsi="Microsoft JhengHei" w:cs="Arial" w:hint="eastAsia"/>
          <w:b/>
          <w:color w:val="000000" w:themeColor="text1"/>
        </w:rPr>
        <w:t>結構與消長原因分析</w:t>
      </w:r>
    </w:p>
    <w:p w14:paraId="03802CA2" w14:textId="33740C81" w:rsidR="00484C49" w:rsidRDefault="00C74DF9" w:rsidP="00922DFA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F14037">
        <w:rPr>
          <w:rFonts w:ascii="Microsoft JhengHei" w:eastAsia="Microsoft JhengHei" w:hAnsi="Microsoft JhengHei" w:cs="Arial" w:hint="eastAsia"/>
          <w:color w:val="000000" w:themeColor="text1"/>
        </w:rPr>
        <w:t>依據海關進出口統計資料庫，115年</w:t>
      </w:r>
      <w:r w:rsidR="00061142" w:rsidRPr="00F14037">
        <w:rPr>
          <w:rFonts w:ascii="Microsoft JhengHei" w:eastAsia="Microsoft JhengHei" w:hAnsi="Microsoft JhengHei" w:cs="Arial" w:hint="eastAsia"/>
          <w:color w:val="000000" w:themeColor="text1"/>
        </w:rPr>
        <w:t>5</w:t>
      </w:r>
      <w:r w:rsidRPr="00F14037">
        <w:rPr>
          <w:rFonts w:ascii="Microsoft JhengHei" w:eastAsia="Microsoft JhengHei" w:hAnsi="Microsoft JhengHei" w:cs="Arial" w:hint="eastAsia"/>
          <w:color w:val="000000" w:themeColor="text1"/>
        </w:rPr>
        <w:t>月台灣塑膠及其製品前五大出口國依序為中國、美國、日本、越南與香港。</w:t>
      </w:r>
      <w:r w:rsidR="00B527FD" w:rsidRPr="00B527FD">
        <w:rPr>
          <w:rFonts w:ascii="Microsoft JhengHei" w:eastAsia="Microsoft JhengHei" w:hAnsi="Microsoft JhengHei" w:cs="Arial" w:hint="eastAsia"/>
          <w:color w:val="000000" w:themeColor="text1"/>
        </w:rPr>
        <w:t>其中，中國大陸出口金額為3.70億美元，占比24.57%，仍為台灣塑膠及其製品最大出口市場</w:t>
      </w:r>
      <w:r w:rsidR="00484C49">
        <w:rPr>
          <w:rFonts w:ascii="Microsoft JhengHei" w:eastAsia="Microsoft JhengHei" w:hAnsi="Microsoft JhengHei" w:cs="Arial" w:hint="eastAsia"/>
          <w:color w:val="000000" w:themeColor="text1"/>
        </w:rPr>
        <w:t>；</w:t>
      </w:r>
      <w:r w:rsidR="00484C49" w:rsidRPr="00484C49">
        <w:rPr>
          <w:rFonts w:ascii="Microsoft JhengHei" w:eastAsia="Microsoft JhengHei" w:hAnsi="Microsoft JhengHei" w:cs="Arial" w:hint="eastAsia"/>
          <w:color w:val="000000" w:themeColor="text1"/>
        </w:rPr>
        <w:t>第二大出口市場</w:t>
      </w:r>
      <w:r w:rsidR="00484C49">
        <w:rPr>
          <w:rFonts w:ascii="Microsoft JhengHei" w:eastAsia="Microsoft JhengHei" w:hAnsi="Microsoft JhengHei" w:cs="Arial" w:hint="eastAsia"/>
          <w:color w:val="000000" w:themeColor="text1"/>
        </w:rPr>
        <w:t>美國</w:t>
      </w:r>
      <w:r w:rsidR="00484C49" w:rsidRPr="00484C49">
        <w:rPr>
          <w:rFonts w:ascii="Microsoft JhengHei" w:eastAsia="Microsoft JhengHei" w:hAnsi="Microsoft JhengHei" w:cs="Arial" w:hint="eastAsia"/>
          <w:color w:val="000000" w:themeColor="text1"/>
        </w:rPr>
        <w:t>，出口金額2.35億美元，占比15.62%，年減4.88%</w:t>
      </w:r>
      <w:r w:rsidR="00484C49">
        <w:rPr>
          <w:rFonts w:ascii="Microsoft JhengHei" w:eastAsia="Microsoft JhengHei" w:hAnsi="Microsoft JhengHei" w:cs="Arial" w:hint="eastAsia"/>
          <w:color w:val="000000" w:themeColor="text1"/>
        </w:rPr>
        <w:t>，其</w:t>
      </w:r>
      <w:r w:rsidR="00484C49" w:rsidRPr="00484C49">
        <w:rPr>
          <w:rFonts w:ascii="Microsoft JhengHei" w:eastAsia="Microsoft JhengHei" w:hAnsi="Microsoft JhengHei" w:cs="Arial" w:hint="eastAsia"/>
          <w:color w:val="000000" w:themeColor="text1"/>
        </w:rPr>
        <w:t>出口金額較去年同期小幅下滑</w:t>
      </w:r>
      <w:r w:rsidR="00484C49">
        <w:rPr>
          <w:rFonts w:ascii="Microsoft JhengHei" w:eastAsia="Microsoft JhengHei" w:hAnsi="Microsoft JhengHei" w:cs="Arial" w:hint="eastAsia"/>
          <w:color w:val="000000" w:themeColor="text1"/>
        </w:rPr>
        <w:t>(-4.88%)</w:t>
      </w:r>
      <w:r w:rsidR="00484C49" w:rsidRPr="00484C49">
        <w:rPr>
          <w:rFonts w:ascii="Microsoft JhengHei" w:eastAsia="Microsoft JhengHei" w:hAnsi="Microsoft JhengHei" w:cs="Arial" w:hint="eastAsia"/>
          <w:color w:val="000000" w:themeColor="text1"/>
        </w:rPr>
        <w:t>，</w:t>
      </w:r>
      <w:r w:rsidR="00484C49">
        <w:rPr>
          <w:rFonts w:ascii="Microsoft JhengHei" w:eastAsia="Microsoft JhengHei" w:hAnsi="Microsoft JhengHei" w:cs="Arial" w:hint="eastAsia"/>
          <w:color w:val="000000" w:themeColor="text1"/>
        </w:rPr>
        <w:t>主要以聚氯乙烯(HS 390410)減少較多(-27.75%)</w:t>
      </w:r>
      <w:r w:rsidR="00484C49" w:rsidRPr="00484C49">
        <w:rPr>
          <w:rFonts w:ascii="Microsoft JhengHei" w:eastAsia="Microsoft JhengHei" w:hAnsi="Microsoft JhengHei" w:cs="Arial" w:hint="eastAsia"/>
          <w:color w:val="000000" w:themeColor="text1"/>
        </w:rPr>
        <w:t>。</w:t>
      </w:r>
    </w:p>
    <w:p w14:paraId="79378EE3" w14:textId="790E25A1" w:rsidR="00484C49" w:rsidRDefault="00E912BD" w:rsidP="00484C49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73DC89FC">
        <w:rPr>
          <w:rFonts w:ascii="Microsoft JhengHei" w:eastAsia="Microsoft JhengHei" w:hAnsi="Microsoft JhengHei" w:cs="Arial"/>
          <w:color w:val="000000" w:themeColor="text1"/>
        </w:rPr>
        <w:t>第三大出口國日本</w:t>
      </w:r>
      <w:r w:rsidR="004F7F59" w:rsidRPr="73DC89FC">
        <w:rPr>
          <w:rFonts w:ascii="Microsoft JhengHei" w:eastAsia="Microsoft JhengHei" w:hAnsi="Microsoft JhengHei" w:cs="Arial"/>
          <w:color w:val="000000" w:themeColor="text1"/>
        </w:rPr>
        <w:t>出口金額1.</w:t>
      </w:r>
      <w:r w:rsidR="00F14037" w:rsidRPr="73DC89FC">
        <w:rPr>
          <w:rFonts w:ascii="Microsoft JhengHei" w:eastAsia="Microsoft JhengHei" w:hAnsi="Microsoft JhengHei" w:cs="Arial"/>
          <w:color w:val="000000" w:themeColor="text1"/>
        </w:rPr>
        <w:t>76</w:t>
      </w:r>
      <w:r w:rsidR="004F7F59" w:rsidRPr="73DC89FC">
        <w:rPr>
          <w:rFonts w:ascii="Microsoft JhengHei" w:eastAsia="Microsoft JhengHei" w:hAnsi="Microsoft JhengHei" w:cs="Arial"/>
          <w:color w:val="000000" w:themeColor="text1"/>
        </w:rPr>
        <w:t>億美元，年增</w:t>
      </w:r>
      <w:r w:rsidR="00F14037" w:rsidRPr="73DC89FC">
        <w:rPr>
          <w:rFonts w:ascii="Microsoft JhengHei" w:eastAsia="Microsoft JhengHei" w:hAnsi="Microsoft JhengHei" w:cs="Arial"/>
          <w:color w:val="000000" w:themeColor="text1"/>
        </w:rPr>
        <w:t>43.81</w:t>
      </w:r>
      <w:r w:rsidR="004F7F59" w:rsidRPr="73DC89FC">
        <w:rPr>
          <w:rFonts w:ascii="Microsoft JhengHei" w:eastAsia="Microsoft JhengHei" w:hAnsi="Microsoft JhengHei" w:cs="Arial"/>
          <w:color w:val="000000" w:themeColor="text1"/>
        </w:rPr>
        <w:t>%</w:t>
      </w:r>
      <w:r w:rsidR="00E640E8" w:rsidRPr="73DC89FC">
        <w:rPr>
          <w:rFonts w:ascii="Microsoft JhengHei" w:eastAsia="Microsoft JhengHei" w:hAnsi="Microsoft JhengHei" w:cs="Arial"/>
          <w:color w:val="000000" w:themeColor="text1"/>
        </w:rPr>
        <w:t>。</w:t>
      </w:r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主因為日幣5月急貶、製造業積極補庫以及夏季消費旺季前哨</w:t>
      </w:r>
      <w:r w:rsidR="001D1F4A" w:rsidRPr="00111F92">
        <w:rPr>
          <w:rFonts w:ascii="Microsoft JhengHei" w:eastAsia="Microsoft JhengHei" w:hAnsi="Microsoft JhengHei" w:cs="Arial"/>
        </w:rPr>
        <w:t>，</w:t>
      </w:r>
      <w:r w:rsidR="00897FBC" w:rsidRPr="00111F92">
        <w:rPr>
          <w:rFonts w:ascii="Microsoft JhengHei" w:eastAsia="Microsoft JhengHei" w:hAnsi="Microsoft JhengHei" w:cs="Arial"/>
        </w:rPr>
        <w:t>帶動</w:t>
      </w:r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PET</w:t>
      </w:r>
      <w:proofErr w:type="gramStart"/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樹脂(</w:t>
      </w:r>
      <w:proofErr w:type="gramEnd"/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proofErr w:type="gramStart"/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390761)、</w:t>
      </w:r>
      <w:proofErr w:type="gramEnd"/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 xml:space="preserve">尼龍6(HS </w:t>
      </w:r>
      <w:proofErr w:type="gramStart"/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390810)及塑膠瓶器</w:t>
      </w:r>
      <w:proofErr w:type="gramEnd"/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(HS 392330)</w:t>
      </w:r>
      <w:r w:rsidR="001D1F4A">
        <w:t xml:space="preserve"> </w:t>
      </w:r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迎來</w:t>
      </w:r>
      <w:r w:rsidR="00D63F4E" w:rsidRPr="73DC89FC">
        <w:rPr>
          <w:rFonts w:ascii="Microsoft JhengHei" w:eastAsia="Microsoft JhengHei" w:hAnsi="Microsoft JhengHei" w:cs="Arial"/>
          <w:color w:val="000000" w:themeColor="text1"/>
        </w:rPr>
        <w:t>顯著</w:t>
      </w:r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成長，</w:t>
      </w:r>
      <w:r w:rsidR="00461205" w:rsidRPr="73DC89FC">
        <w:rPr>
          <w:rFonts w:ascii="Microsoft JhengHei" w:eastAsia="Microsoft JhengHei" w:hAnsi="Microsoft JhengHei" w:cs="Arial"/>
          <w:color w:val="000000" w:themeColor="text1"/>
        </w:rPr>
        <w:t>其成長率分別</w:t>
      </w:r>
      <w:r w:rsidR="001D1F4A" w:rsidRPr="73DC89FC">
        <w:rPr>
          <w:rFonts w:ascii="Microsoft JhengHei" w:eastAsia="Microsoft JhengHei" w:hAnsi="Microsoft JhengHei" w:cs="Arial"/>
          <w:color w:val="000000" w:themeColor="text1"/>
        </w:rPr>
        <w:t>為83.68%、56.22%及54.73%。</w:t>
      </w:r>
      <w:bookmarkStart w:id="2" w:name="_Hlk227663085"/>
    </w:p>
    <w:p w14:paraId="3378BD63" w14:textId="77777777" w:rsidR="00484C49" w:rsidRDefault="00484C49" w:rsidP="00484C49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484C49">
        <w:rPr>
          <w:rFonts w:ascii="Microsoft JhengHei" w:eastAsia="Microsoft JhengHei" w:hAnsi="Microsoft JhengHei" w:cs="Arial" w:hint="eastAsia"/>
          <w:color w:val="000000" w:themeColor="text1"/>
        </w:rPr>
        <w:t>越南與香港分別為第四、第五大出口市場，出口金額為1.00億美元與0.60億美元，占比分別為6.62%與3.97%。其中，越南年減20.11%，顯示短期受庫存調整或供應鏈拉貨放緩影響；香港則年增37.23%，雖規模較小，但轉口與區域貿易需求回升，成為本月成長較明顯的市場。</w:t>
      </w:r>
    </w:p>
    <w:p w14:paraId="36BE0779" w14:textId="72A80946" w:rsidR="00FE1413" w:rsidRPr="00484C49" w:rsidRDefault="002A641D" w:rsidP="00484C49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>
        <w:rPr>
          <w:noProof/>
        </w:rPr>
        <w:drawing>
          <wp:inline distT="0" distB="0" distL="0" distR="0" wp14:anchorId="795CF901" wp14:editId="099803D5">
            <wp:extent cx="5274310" cy="3187700"/>
            <wp:effectExtent l="0" t="0" r="2540" b="12700"/>
            <wp:docPr id="4" name="圖表 4">
              <a:extLst xmlns:a="http://schemas.openxmlformats.org/drawingml/2006/main">
                <a:ext uri="{FF2B5EF4-FFF2-40B4-BE49-F238E27FC236}">
                  <a16:creationId xmlns:a16="http://schemas.microsoft.com/office/drawing/2014/main" id="{D76DC57B-12EE-4413-8CB6-A4F41578DA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A94AF3" w14:textId="60BC66BB" w:rsidR="00F43249" w:rsidRPr="00C30C5F" w:rsidRDefault="00F43249" w:rsidP="00504942">
      <w:pPr>
        <w:spacing w:line="0" w:lineRule="atLeast"/>
        <w:rPr>
          <w:rFonts w:ascii="Microsoft JhengHei" w:eastAsia="Microsoft JhengHei" w:hAnsi="Microsoft JhengHei" w:cs="Arial"/>
          <w:color w:val="000000" w:themeColor="text1"/>
          <w:sz w:val="20"/>
        </w:rPr>
      </w:pPr>
      <w:r w:rsidRPr="00C30C5F">
        <w:rPr>
          <w:rFonts w:ascii="Microsoft JhengHei" w:eastAsia="Microsoft JhengHei" w:hAnsi="Microsoft JhengHei" w:cs="Arial" w:hint="eastAsia"/>
          <w:color w:val="000000" w:themeColor="text1"/>
          <w:sz w:val="20"/>
        </w:rPr>
        <w:t>資料來源：海關進出口統計資料庫；塑膠中心整理。</w:t>
      </w:r>
    </w:p>
    <w:p w14:paraId="73CA6EB8" w14:textId="74FC73AC" w:rsidR="009D3182" w:rsidRPr="00C30C5F" w:rsidRDefault="00FC6DD7" w:rsidP="00AD79AA">
      <w:pPr>
        <w:snapToGrid w:val="0"/>
        <w:spacing w:line="0" w:lineRule="atLeast"/>
        <w:jc w:val="center"/>
        <w:rPr>
          <w:rFonts w:ascii="Microsoft JhengHei" w:eastAsia="Microsoft JhengHei" w:hAnsi="Microsoft JhengHei" w:cs="Arial"/>
          <w:color w:val="000000" w:themeColor="text1"/>
        </w:rPr>
      </w:pPr>
      <w:bookmarkStart w:id="3" w:name="_Toc224044426"/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 xml:space="preserve">圖 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begin"/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instrText>SEQ 圖 \* ARABIC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separate"/>
      </w:r>
      <w:r w:rsidR="008E243E">
        <w:rPr>
          <w:rFonts w:ascii="Microsoft JhengHei" w:eastAsia="Microsoft JhengHei" w:hAnsi="Microsoft JhengHei"/>
          <w:noProof/>
          <w:color w:val="000000" w:themeColor="text1"/>
          <w:szCs w:val="24"/>
        </w:rPr>
        <w:t>2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end"/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>、</w:t>
      </w:r>
      <w:r w:rsidR="00F43249" w:rsidRPr="00C30C5F">
        <w:rPr>
          <w:rFonts w:ascii="Microsoft JhengHei" w:eastAsia="Microsoft JhengHei" w:hAnsi="Microsoft JhengHei" w:cs="Arial" w:hint="eastAsia"/>
          <w:color w:val="000000" w:themeColor="text1"/>
        </w:rPr>
        <w:t>台灣塑膠及其製品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11</w:t>
      </w:r>
      <w:r w:rsidR="00033256">
        <w:rPr>
          <w:rFonts w:ascii="Microsoft JhengHei" w:eastAsia="Microsoft JhengHei" w:hAnsi="Microsoft JhengHei" w:cs="Arial" w:hint="eastAsia"/>
          <w:color w:val="000000" w:themeColor="text1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年</w:t>
      </w:r>
      <w:r w:rsidR="002A641D">
        <w:rPr>
          <w:rFonts w:ascii="Microsoft JhengHei" w:eastAsia="Microsoft JhengHei" w:hAnsi="Microsoft JhengHei" w:cs="Arial" w:hint="eastAsia"/>
          <w:color w:val="000000" w:themeColor="text1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月份</w:t>
      </w:r>
      <w:r w:rsidR="003A1DE6" w:rsidRPr="00C30C5F">
        <w:rPr>
          <w:rFonts w:ascii="Microsoft JhengHei" w:eastAsia="Microsoft JhengHei" w:hAnsi="Microsoft JhengHei" w:cs="Arial" w:hint="eastAsia"/>
          <w:color w:val="000000" w:themeColor="text1"/>
        </w:rPr>
        <w:t>-前五大出口國</w:t>
      </w:r>
      <w:r w:rsidR="00990285" w:rsidRPr="00C30C5F">
        <w:rPr>
          <w:rFonts w:ascii="Microsoft JhengHei" w:eastAsia="Microsoft JhengHei" w:hAnsi="Microsoft JhengHei" w:cs="Arial" w:hint="eastAsia"/>
          <w:color w:val="000000" w:themeColor="text1"/>
        </w:rPr>
        <w:t>出口金額</w:t>
      </w:r>
      <w:r w:rsidR="00D158C5" w:rsidRPr="00C30C5F">
        <w:rPr>
          <w:rFonts w:ascii="Microsoft JhengHei" w:eastAsia="Microsoft JhengHei" w:hAnsi="Microsoft JhengHei" w:cs="Arial" w:hint="eastAsia"/>
          <w:color w:val="000000" w:themeColor="text1"/>
        </w:rPr>
        <w:t>與占比</w:t>
      </w:r>
      <w:bookmarkEnd w:id="3"/>
    </w:p>
    <w:p w14:paraId="41302F2D" w14:textId="32244513" w:rsidR="00FA78B9" w:rsidRPr="00C30C5F" w:rsidRDefault="002A641D" w:rsidP="00FA78B9">
      <w:pPr>
        <w:snapToGrid w:val="0"/>
        <w:rPr>
          <w:rFonts w:ascii="Microsoft JhengHei" w:eastAsia="Microsoft JhengHei" w:hAnsi="Microsoft JhengHei" w:cs="Arial"/>
          <w:color w:val="000000" w:themeColor="text1"/>
        </w:rPr>
      </w:pPr>
      <w:bookmarkStart w:id="4" w:name="_Hlk227663097"/>
      <w:bookmarkEnd w:id="1"/>
      <w:bookmarkEnd w:id="2"/>
      <w:r w:rsidRPr="002A641D">
        <w:rPr>
          <w:rFonts w:ascii="Microsoft JhengHei" w:eastAsia="Microsoft JhengHei" w:hAnsi="Microsoft JhengHei" w:cs="Arial"/>
          <w:noProof/>
          <w:color w:val="000000" w:themeColor="text1"/>
        </w:rPr>
        <w:drawing>
          <wp:inline distT="0" distB="0" distL="0" distR="0" wp14:anchorId="347AA938" wp14:editId="59A5BE57">
            <wp:extent cx="5274310" cy="2907665"/>
            <wp:effectExtent l="0" t="0" r="2540" b="698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989A" w14:textId="77777777" w:rsidR="00FA78B9" w:rsidRPr="00C30C5F" w:rsidRDefault="00FA78B9" w:rsidP="00504942">
      <w:pPr>
        <w:rPr>
          <w:rFonts w:ascii="Microsoft JhengHei" w:eastAsia="Microsoft JhengHei" w:hAnsi="Microsoft JhengHei" w:cs="Arial"/>
          <w:color w:val="000000" w:themeColor="text1"/>
          <w:sz w:val="20"/>
        </w:rPr>
      </w:pPr>
      <w:r w:rsidRPr="00C30C5F">
        <w:rPr>
          <w:rFonts w:ascii="Microsoft JhengHei" w:eastAsia="Microsoft JhengHei" w:hAnsi="Microsoft JhengHei" w:cs="Arial" w:hint="eastAsia"/>
          <w:color w:val="000000" w:themeColor="text1"/>
          <w:sz w:val="20"/>
        </w:rPr>
        <w:t>資料來源：海關進出口統計資料庫；塑膠中心整理。</w:t>
      </w:r>
    </w:p>
    <w:p w14:paraId="2981422F" w14:textId="4E6E82C6" w:rsidR="00FA78B9" w:rsidRPr="00C30C5F" w:rsidRDefault="00FA78B9" w:rsidP="00FA78B9">
      <w:pPr>
        <w:snapToGrid w:val="0"/>
        <w:jc w:val="center"/>
        <w:rPr>
          <w:rFonts w:ascii="Microsoft JhengHei" w:eastAsia="Microsoft JhengHei" w:hAnsi="Microsoft JhengHei" w:cs="Arial"/>
          <w:color w:val="000000" w:themeColor="text1"/>
        </w:rPr>
      </w:pPr>
      <w:bookmarkStart w:id="5" w:name="_Toc224044427"/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 xml:space="preserve">圖 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begin"/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instrText>SEQ 圖 \* ARABIC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separate"/>
      </w:r>
      <w:r w:rsidR="008E243E">
        <w:rPr>
          <w:rFonts w:ascii="Microsoft JhengHei" w:eastAsia="Microsoft JhengHei" w:hAnsi="Microsoft JhengHei"/>
          <w:noProof/>
          <w:color w:val="000000" w:themeColor="text1"/>
          <w:szCs w:val="24"/>
        </w:rPr>
        <w:t>3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end"/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>、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台灣塑膠及其製品前五大出口國-近五年之</w:t>
      </w:r>
      <w:r w:rsidR="002A641D">
        <w:rPr>
          <w:rFonts w:ascii="Microsoft JhengHei" w:eastAsia="Microsoft JhengHei" w:hAnsi="Microsoft JhengHei" w:cs="Arial" w:hint="eastAsia"/>
          <w:color w:val="000000" w:themeColor="text1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月份出口趨勢</w:t>
      </w:r>
      <w:bookmarkEnd w:id="5"/>
    </w:p>
    <w:p w14:paraId="5C980782" w14:textId="0927748D" w:rsidR="004E13E1" w:rsidRDefault="004E13E1" w:rsidP="004E13E1">
      <w:pPr>
        <w:widowControl/>
        <w:rPr>
          <w:rFonts w:ascii="Microsoft JhengHei" w:eastAsia="Microsoft JhengHei" w:hAnsi="Microsoft JhengHei" w:cs="Arial"/>
          <w:color w:val="000000" w:themeColor="text1"/>
        </w:rPr>
      </w:pPr>
      <w:bookmarkStart w:id="6" w:name="_Toc224044455"/>
    </w:p>
    <w:p w14:paraId="5E81CA9D" w14:textId="451EA763" w:rsidR="007142B1" w:rsidRPr="004E13E1" w:rsidRDefault="00AD79AA" w:rsidP="004E13E1">
      <w:pPr>
        <w:widowControl/>
        <w:rPr>
          <w:rFonts w:ascii="Microsoft JhengHei" w:eastAsia="Microsoft JhengHei" w:hAnsi="Microsoft JhengHei" w:cs="Arial"/>
          <w:color w:val="000000" w:themeColor="text1"/>
        </w:rPr>
      </w:pP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 xml:space="preserve">表 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begin"/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instrText>SEQ 表 \* ARABIC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separate"/>
      </w:r>
      <w:r w:rsidR="008E243E">
        <w:rPr>
          <w:rFonts w:ascii="Microsoft JhengHei" w:eastAsia="Microsoft JhengHei" w:hAnsi="Microsoft JhengHei"/>
          <w:noProof/>
          <w:color w:val="000000" w:themeColor="text1"/>
          <w:szCs w:val="24"/>
        </w:rPr>
        <w:t>1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end"/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>、</w:t>
      </w:r>
      <w:r w:rsidRPr="00C30C5F">
        <w:rPr>
          <w:rFonts w:ascii="Microsoft JhengHei" w:eastAsia="Microsoft JhengHei" w:hAnsi="Microsoft JhengHei" w:cs="Arial" w:hint="eastAsia"/>
          <w:color w:val="000000" w:themeColor="text1"/>
          <w:szCs w:val="24"/>
        </w:rPr>
        <w:t>台灣塑膠及其製品前五大出口國</w:t>
      </w:r>
      <w:r w:rsidR="003A1DE6" w:rsidRPr="00C30C5F">
        <w:rPr>
          <w:rFonts w:ascii="Microsoft JhengHei" w:eastAsia="Microsoft JhengHei" w:hAnsi="Microsoft JhengHei" w:cs="Arial" w:hint="eastAsia"/>
          <w:color w:val="000000" w:themeColor="text1"/>
          <w:szCs w:val="24"/>
        </w:rPr>
        <w:t>-</w:t>
      </w:r>
      <w:r w:rsidRPr="00C30C5F">
        <w:rPr>
          <w:rFonts w:ascii="Microsoft JhengHei" w:eastAsia="Microsoft JhengHei" w:hAnsi="Microsoft JhengHei" w:cs="Arial" w:hint="eastAsia"/>
          <w:color w:val="000000" w:themeColor="text1"/>
          <w:szCs w:val="24"/>
        </w:rPr>
        <w:t>近五年</w:t>
      </w:r>
      <w:r w:rsidR="002A641D">
        <w:rPr>
          <w:rFonts w:ascii="Microsoft JhengHei" w:eastAsia="Microsoft JhengHei" w:hAnsi="Microsoft JhengHei" w:cs="Arial" w:hint="eastAsia"/>
          <w:color w:val="000000" w:themeColor="text1"/>
          <w:szCs w:val="24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  <w:szCs w:val="24"/>
        </w:rPr>
        <w:t>月份</w:t>
      </w:r>
      <w:r w:rsidR="00990285" w:rsidRPr="00C30C5F">
        <w:rPr>
          <w:rFonts w:ascii="Microsoft JhengHei" w:eastAsia="Microsoft JhengHei" w:hAnsi="Microsoft JhengHei" w:cs="Arial" w:hint="eastAsia"/>
          <w:color w:val="000000" w:themeColor="text1"/>
          <w:szCs w:val="24"/>
        </w:rPr>
        <w:t>出口金額</w:t>
      </w:r>
      <w:r w:rsidRPr="00C30C5F">
        <w:rPr>
          <w:rFonts w:ascii="Microsoft JhengHei" w:eastAsia="Microsoft JhengHei" w:hAnsi="Microsoft JhengHei" w:cs="Arial" w:hint="eastAsia"/>
          <w:color w:val="000000" w:themeColor="text1"/>
          <w:szCs w:val="24"/>
        </w:rPr>
        <w:t>與年增率</w:t>
      </w:r>
      <w:bookmarkEnd w:id="6"/>
    </w:p>
    <w:tbl>
      <w:tblPr>
        <w:tblW w:w="920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</w:tblGrid>
      <w:tr w:rsidR="006F4BA0" w:rsidRPr="00C30C5F" w14:paraId="5CC815C2" w14:textId="77777777" w:rsidTr="002A641D">
        <w:trPr>
          <w:trHeight w:val="187"/>
          <w:jc w:val="center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404040" w:themeFill="text1" w:themeFillTint="BF"/>
            <w:vAlign w:val="center"/>
          </w:tcPr>
          <w:p w14:paraId="73FD27C1" w14:textId="77777777" w:rsidR="006F4BA0" w:rsidRPr="00C30C5F" w:rsidRDefault="006F4BA0" w:rsidP="006F4BA0">
            <w:pPr>
              <w:widowControl/>
              <w:rPr>
                <w:rFonts w:ascii="Microsoft JhengHei" w:eastAsia="Microsoft JhengHei" w:hAnsi="Microsoft JhengHei" w:cs="Arial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</w:tcPr>
          <w:p w14:paraId="4274758D" w14:textId="04E5E4DD" w:rsidR="006F4BA0" w:rsidRPr="00C30C5F" w:rsidRDefault="006F4BA0" w:rsidP="006F4BA0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111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年</w:t>
            </w:r>
            <w:r w:rsidR="002A641D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月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</w:tcPr>
          <w:p w14:paraId="7312F3A6" w14:textId="1BACCE5D" w:rsidR="006F4BA0" w:rsidRPr="00C30C5F" w:rsidRDefault="006F4BA0" w:rsidP="006F4BA0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112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年</w:t>
            </w:r>
            <w:r w:rsidR="002A641D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月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</w:tcPr>
          <w:p w14:paraId="380EFE91" w14:textId="6CCD4210" w:rsidR="006F4BA0" w:rsidRPr="00C30C5F" w:rsidRDefault="006F4BA0" w:rsidP="006F4BA0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113</w:t>
            </w:r>
            <w:r>
              <w:rPr>
                <w:rFonts w:ascii="Microsoft JhengHei" w:eastAsia="Microsoft JhengHei" w:hAnsi="Microsoft JhengHei" w:cs="Arial" w:hint="eastAsia"/>
                <w:b/>
                <w:bCs/>
                <w:color w:val="FFFFFF"/>
                <w:sz w:val="20"/>
                <w:szCs w:val="20"/>
              </w:rPr>
              <w:t>年</w:t>
            </w:r>
            <w:r w:rsidR="002A641D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5</w:t>
            </w:r>
            <w:r>
              <w:rPr>
                <w:rFonts w:ascii="Microsoft JhengHei" w:eastAsia="Microsoft JhengHei" w:hAnsi="Microsoft JhengHei" w:cs="Arial" w:hint="eastAsia"/>
                <w:b/>
                <w:bCs/>
                <w:color w:val="FFFFFF"/>
                <w:sz w:val="20"/>
                <w:szCs w:val="20"/>
              </w:rPr>
              <w:t>月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</w:tcPr>
          <w:p w14:paraId="3091E483" w14:textId="6DA3AB83" w:rsidR="006F4BA0" w:rsidRPr="00C30C5F" w:rsidRDefault="006F4BA0" w:rsidP="006F4BA0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114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年</w:t>
            </w:r>
            <w:r w:rsidR="002A641D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月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</w:tcPr>
          <w:p w14:paraId="3C81DB55" w14:textId="49B54B38" w:rsidR="006F4BA0" w:rsidRPr="006F4BA0" w:rsidRDefault="006F4BA0" w:rsidP="006F4BA0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115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年</w:t>
            </w:r>
            <w:r w:rsidR="002A641D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月</w:t>
            </w:r>
          </w:p>
        </w:tc>
      </w:tr>
      <w:tr w:rsidR="00504942" w:rsidRPr="00C30C5F" w14:paraId="59A81371" w14:textId="77777777" w:rsidTr="002A641D">
        <w:trPr>
          <w:trHeight w:val="187"/>
          <w:jc w:val="center"/>
        </w:trPr>
        <w:tc>
          <w:tcPr>
            <w:tcW w:w="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404040" w:themeFill="text1" w:themeFillTint="BF"/>
            <w:vAlign w:val="center"/>
            <w:hideMark/>
          </w:tcPr>
          <w:p w14:paraId="42A9DAFD" w14:textId="77777777" w:rsidR="00990285" w:rsidRPr="00C30C5F" w:rsidRDefault="00990285" w:rsidP="00990285">
            <w:pPr>
              <w:widowControl/>
              <w:rPr>
                <w:rFonts w:ascii="Microsoft JhengHei" w:eastAsia="Microsoft JhengHei" w:hAnsi="Microsoft JhengHei" w:cs="Arial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00A61324" w14:textId="3689523B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出口金額</w:t>
            </w:r>
          </w:p>
          <w:p w14:paraId="0942FDFF" w14:textId="3A87A8C1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18"/>
                <w:szCs w:val="20"/>
              </w:rPr>
              <w:t>(億美元)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  <w:hideMark/>
          </w:tcPr>
          <w:p w14:paraId="1F2706D3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年增率</w:t>
            </w:r>
          </w:p>
          <w:p w14:paraId="6A16CA32" w14:textId="6758FB3F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1F171C1D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出口金額</w:t>
            </w:r>
          </w:p>
          <w:p w14:paraId="0757C09A" w14:textId="549E4592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18"/>
                <w:szCs w:val="20"/>
              </w:rPr>
              <w:t>(億美元)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  <w:hideMark/>
          </w:tcPr>
          <w:p w14:paraId="666E9C70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年增率</w:t>
            </w:r>
          </w:p>
          <w:p w14:paraId="4C847EA7" w14:textId="3C74605C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6A4F51D8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出口金額</w:t>
            </w:r>
          </w:p>
          <w:p w14:paraId="11FBBB0A" w14:textId="0003CC80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18"/>
                <w:szCs w:val="20"/>
              </w:rPr>
              <w:t>(億美元)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  <w:hideMark/>
          </w:tcPr>
          <w:p w14:paraId="3487FFB8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年增率</w:t>
            </w:r>
          </w:p>
          <w:p w14:paraId="01433778" w14:textId="606A1603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5B7E0413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出口金額</w:t>
            </w:r>
          </w:p>
          <w:p w14:paraId="0AB398FD" w14:textId="0C6F2B1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18"/>
                <w:szCs w:val="20"/>
              </w:rPr>
              <w:t>(億美元)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  <w:hideMark/>
          </w:tcPr>
          <w:p w14:paraId="426A3BB6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年增率</w:t>
            </w:r>
          </w:p>
          <w:p w14:paraId="2700E3B3" w14:textId="00819913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7B058379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出口金額</w:t>
            </w:r>
          </w:p>
          <w:p w14:paraId="682C1B6F" w14:textId="1D91C543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18"/>
                <w:szCs w:val="20"/>
              </w:rPr>
              <w:t>(億美元)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  <w:hideMark/>
          </w:tcPr>
          <w:p w14:paraId="26F95037" w14:textId="77777777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年增率</w:t>
            </w:r>
          </w:p>
          <w:p w14:paraId="7F256BDE" w14:textId="45871922" w:rsidR="00990285" w:rsidRPr="00C30C5F" w:rsidRDefault="00990285" w:rsidP="00FA78B9">
            <w:pPr>
              <w:widowControl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C30C5F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</w:tr>
      <w:tr w:rsidR="002A641D" w:rsidRPr="00C30C5F" w14:paraId="33583093" w14:textId="77777777" w:rsidTr="002A641D">
        <w:trPr>
          <w:trHeight w:val="187"/>
          <w:jc w:val="center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EB031" w14:textId="37D89191" w:rsidR="002A641D" w:rsidRPr="000C426B" w:rsidRDefault="002A641D" w:rsidP="002A641D">
            <w:pPr>
              <w:widowControl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0C426B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中國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A0EFD" w14:textId="33ACE906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7.00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DA273" w14:textId="69E49988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-17.27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E0BDE" w14:textId="046D2E6F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4.39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A0151" w14:textId="41B78B92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-37.38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146B6" w14:textId="5E24A5A5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4.52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27621" w14:textId="39723FE0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2.97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AAACD" w14:textId="60CD3F44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3.56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75A02" w14:textId="18018962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-21.21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4C8E8" w14:textId="7F86409F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3.70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C3F60" w14:textId="0E0022D6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3.99</w:t>
            </w:r>
          </w:p>
        </w:tc>
      </w:tr>
      <w:tr w:rsidR="002A641D" w:rsidRPr="00C30C5F" w14:paraId="25442337" w14:textId="77777777" w:rsidTr="002A641D">
        <w:trPr>
          <w:trHeight w:val="187"/>
          <w:jc w:val="center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C440E" w14:textId="78BB026F" w:rsidR="002A641D" w:rsidRPr="000C426B" w:rsidRDefault="002A641D" w:rsidP="002A641D">
            <w:pPr>
              <w:widowControl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0C426B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美國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B9FF5" w14:textId="0177DA63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2.95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44FCC" w14:textId="01E2DC63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10.61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61E20" w14:textId="665DA48A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2.47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E835F" w14:textId="291C6766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-16.44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82B3DF" w14:textId="3BBA79A4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2.39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B3C1D" w14:textId="6F093410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-3.07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E1707" w14:textId="2E2C8F94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2.47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62FFF" w14:textId="3363D57A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3.51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AC3C47" w14:textId="559BC14B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2.35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14657" w14:textId="364521FE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-4.88</w:t>
            </w:r>
          </w:p>
        </w:tc>
      </w:tr>
      <w:tr w:rsidR="002A641D" w:rsidRPr="00C30C5F" w14:paraId="2A151145" w14:textId="77777777" w:rsidTr="002A641D">
        <w:trPr>
          <w:trHeight w:val="187"/>
          <w:jc w:val="center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07C3E1" w14:textId="3C561EEF" w:rsidR="002A641D" w:rsidRPr="000C426B" w:rsidRDefault="002A641D" w:rsidP="002A641D">
            <w:pPr>
              <w:widowControl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0C426B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日本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272D8" w14:textId="4958FDCD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C95B8" w14:textId="772D7D9B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6.18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78981A" w14:textId="342CAF01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FD26B" w14:textId="608D55AB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-22.35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83CD2" w14:textId="50EB7851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217FB" w14:textId="4F1F32C9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-11.63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EF443" w14:textId="2F584700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DA6C1" w14:textId="45323D3B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-1.65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2E9B1" w14:textId="79695B80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C1240" w14:textId="1535D43C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43.81</w:t>
            </w:r>
          </w:p>
        </w:tc>
      </w:tr>
      <w:tr w:rsidR="002A641D" w:rsidRPr="00C30C5F" w14:paraId="079A3A82" w14:textId="77777777" w:rsidTr="002A641D">
        <w:trPr>
          <w:trHeight w:val="187"/>
          <w:jc w:val="center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444CC0" w14:textId="0B15B875" w:rsidR="002A641D" w:rsidRPr="000C426B" w:rsidRDefault="002A641D" w:rsidP="002A641D">
            <w:pPr>
              <w:widowControl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0C426B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越南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411C92" w14:textId="272AF863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2.03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1D711" w14:textId="273893A1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12.42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492B3" w14:textId="38EB7225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0.94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CA99A" w14:textId="463E569B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-53.85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36B35" w14:textId="1FB45231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4D09B" w14:textId="7AEC354A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22.49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3A9FE" w14:textId="38560AA7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D4D63" w14:textId="6EAEDBC6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8.79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2EC02E" w14:textId="5B234716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1.00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F9028" w14:textId="4D1BB5CC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-20.11</w:t>
            </w:r>
          </w:p>
        </w:tc>
      </w:tr>
      <w:tr w:rsidR="002A641D" w:rsidRPr="00C30C5F" w14:paraId="02BA557F" w14:textId="77777777" w:rsidTr="002A641D">
        <w:trPr>
          <w:trHeight w:val="187"/>
          <w:jc w:val="center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C336F6" w14:textId="79CF1395" w:rsidR="002A641D" w:rsidRPr="000C426B" w:rsidRDefault="002A641D" w:rsidP="002A641D">
            <w:pPr>
              <w:widowControl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0C426B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香港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205BE0" w14:textId="74FA2EF3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0.60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1786B" w14:textId="40845CAF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-56.91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564C2" w14:textId="39C93235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0.39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72FAF" w14:textId="30E46D35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-34.94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D11CE" w14:textId="610FBAD1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0.50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105BE" w14:textId="52C543C7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28.50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6383F" w14:textId="2CCF2A75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0.44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883C9" w14:textId="74C618B5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-12.56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460A7" w14:textId="638620C6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  <w:t>0.60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CCE12" w14:textId="3B1A2F32" w:rsidR="002A641D" w:rsidRPr="000F67D8" w:rsidRDefault="002A641D" w:rsidP="002A641D">
            <w:pPr>
              <w:widowControl/>
              <w:jc w:val="righ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2A641D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0"/>
              </w:rPr>
              <w:t>37.23</w:t>
            </w:r>
          </w:p>
        </w:tc>
      </w:tr>
    </w:tbl>
    <w:p w14:paraId="2B7A92F8" w14:textId="5BA41ABD" w:rsidR="00B12477" w:rsidRPr="00C30C5F" w:rsidRDefault="007142B1" w:rsidP="00504942">
      <w:pPr>
        <w:rPr>
          <w:rFonts w:ascii="Microsoft JhengHei" w:eastAsia="Microsoft JhengHei" w:hAnsi="Microsoft JhengHei" w:cs="Arial"/>
          <w:color w:val="000000" w:themeColor="text1"/>
        </w:rPr>
      </w:pPr>
      <w:r w:rsidRPr="00C30C5F">
        <w:rPr>
          <w:rFonts w:ascii="Microsoft JhengHei" w:eastAsia="Microsoft JhengHei" w:hAnsi="Microsoft JhengHei" w:cs="Arial" w:hint="eastAsia"/>
          <w:color w:val="000000" w:themeColor="text1"/>
          <w:sz w:val="20"/>
        </w:rPr>
        <w:t>資料來源：海關進出口統計資料庫；塑膠中心整理。</w:t>
      </w:r>
      <w:bookmarkEnd w:id="4"/>
      <w:r w:rsidR="00B12477" w:rsidRPr="00C30C5F">
        <w:rPr>
          <w:rFonts w:ascii="Microsoft JhengHei" w:eastAsia="Microsoft JhengHei" w:hAnsi="Microsoft JhengHei" w:cs="Arial"/>
          <w:color w:val="000000" w:themeColor="text1"/>
        </w:rPr>
        <w:br w:type="page"/>
      </w:r>
    </w:p>
    <w:p w14:paraId="0C7CCD36" w14:textId="77777777" w:rsidR="00470DF3" w:rsidRDefault="00470DF3" w:rsidP="00470DF3">
      <w:pPr>
        <w:snapToGrid w:val="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bookmarkStart w:id="7" w:name="_Toc224044456"/>
      <w:bookmarkStart w:id="8" w:name="_Hlk227663113"/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依據海關進出口統計資料庫，115年5月台灣塑膠及其製品前十大出口品項合計出口金額約7.51億美元，占整體出口總額約49.94%，顯示主要出口仍集中於合成樹脂、聚酯材料、塑膠膠帶、板片薄膜及其他塑膠製品等品項。其中，其他塑膠製品</w:t>
      </w:r>
      <w:r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HS 392690</w:t>
      </w:r>
      <w:r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出口金額1.60億美元、占比10.65%，仍為最大出口品項，但年減5.06%，顯示終端塑膠製品需求雖具規模，但成長動能略顯疲弱。</w:t>
      </w:r>
    </w:p>
    <w:p w14:paraId="4A104DCE" w14:textId="3B4F50C9" w:rsidR="00470DF3" w:rsidRPr="00111F92" w:rsidRDefault="00470DF3" w:rsidP="00470DF3">
      <w:pPr>
        <w:snapToGrid w:val="0"/>
        <w:ind w:firstLineChars="200" w:firstLine="480"/>
        <w:jc w:val="both"/>
        <w:rPr>
          <w:rFonts w:ascii="Microsoft JhengHei" w:eastAsia="Microsoft JhengHei" w:hAnsi="Microsoft JhengHei" w:cs="Arial"/>
        </w:rPr>
      </w:pP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就成長動能觀察，</w:t>
      </w:r>
      <w:r>
        <w:rPr>
          <w:rFonts w:ascii="Microsoft JhengHei" w:eastAsia="Microsoft JhengHei" w:hAnsi="Microsoft JhengHei" w:cs="Arial" w:hint="eastAsia"/>
          <w:color w:val="000000" w:themeColor="text1"/>
        </w:rPr>
        <w:t>本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月出口成長主要來自聚酯、環氧樹脂、塑膠薄膜及膠帶等材料品項。其中，黏度值等於或高於78ml/g</w:t>
      </w:r>
      <w:r w:rsidR="004D464D">
        <w:rPr>
          <w:rFonts w:ascii="Microsoft JhengHei" w:eastAsia="Microsoft JhengHei" w:hAnsi="Microsoft JhengHei" w:cs="Arial" w:hint="eastAsia"/>
          <w:color w:val="000000" w:themeColor="text1"/>
        </w:rPr>
        <w:t xml:space="preserve"> (</w:t>
      </w:r>
      <w:r>
        <w:rPr>
          <w:rFonts w:ascii="Microsoft JhengHei" w:eastAsia="Microsoft JhengHei" w:hAnsi="Microsoft JhengHei" w:cs="Arial" w:hint="eastAsia"/>
          <w:color w:val="000000" w:themeColor="text1"/>
        </w:rPr>
        <w:t>PET</w:t>
      </w:r>
      <w:r w:rsidR="004D464D">
        <w:rPr>
          <w:rFonts w:ascii="Microsoft JhengHei" w:eastAsia="Microsoft JhengHei" w:hAnsi="Microsoft JhengHei" w:cs="Arial" w:hint="eastAsia"/>
          <w:color w:val="000000" w:themeColor="text1"/>
        </w:rPr>
        <w:t>，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HS 390761</w:t>
      </w:r>
      <w:r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出口金額0.96億美元，年增59.09%，為前十大品項中成長率最高者；其他塑膠製板、片、薄膜、箔及扁條</w:t>
      </w:r>
      <w:r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HS 392190</w:t>
      </w:r>
      <w:r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出口0.64億美元，年增40.15%；環氧樹脂</w:t>
      </w:r>
      <w:r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HS 390730</w:t>
      </w:r>
      <w:r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出口0.64億美元，年增33.33%；其他初級狀態之丙烯酸聚合物</w:t>
      </w:r>
      <w:r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HS 390690</w:t>
      </w:r>
      <w:r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470DF3">
        <w:rPr>
          <w:rFonts w:ascii="Microsoft JhengHei" w:eastAsia="Microsoft JhengHei" w:hAnsi="Microsoft JhengHei" w:cs="Arial" w:hint="eastAsia"/>
          <w:color w:val="000000" w:themeColor="text1"/>
        </w:rPr>
        <w:t>亦年增26.66%。上述品項成</w:t>
      </w:r>
      <w:r w:rsidRPr="00111F92">
        <w:rPr>
          <w:rFonts w:ascii="Microsoft JhengHei" w:eastAsia="Microsoft JhengHei" w:hAnsi="Microsoft JhengHei" w:cs="Arial" w:hint="eastAsia"/>
        </w:rPr>
        <w:t>長，反映包裝、電子、塗料、接著劑及工業材料需求仍具支撐，帶動塑膠材料與半成品出口表現。</w:t>
      </w:r>
    </w:p>
    <w:p w14:paraId="5D9AD5B7" w14:textId="0915C45F" w:rsidR="00470DF3" w:rsidRDefault="00470DF3" w:rsidP="00470DF3">
      <w:pPr>
        <w:snapToGrid w:val="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111F92">
        <w:rPr>
          <w:rFonts w:ascii="Microsoft JhengHei" w:eastAsia="Microsoft JhengHei" w:hAnsi="Microsoft JhengHei" w:cs="Arial"/>
        </w:rPr>
        <w:t>相較之下，部分傳統樹脂出口仍</w:t>
      </w:r>
      <w:r w:rsidR="00897FBC" w:rsidRPr="00111F92">
        <w:rPr>
          <w:rFonts w:ascii="Microsoft JhengHei" w:eastAsia="Microsoft JhengHei" w:hAnsi="Microsoft JhengHei" w:cs="Arial"/>
        </w:rPr>
        <w:t>呈現衰退</w:t>
      </w:r>
      <w:r w:rsidRPr="00111F92">
        <w:rPr>
          <w:rFonts w:ascii="Microsoft JhengHei" w:eastAsia="Microsoft JhengHei" w:hAnsi="Microsoft JhengHei" w:cs="Arial"/>
        </w:rPr>
        <w:t>。聚氯乙烯，未與任何其他物質混合者(HS 390410)出口金額0.53億美元，年減27.75%，為前十大品項中衰退幅度最大者；丙烯腈-丁二烯-苯乙烯(ABS)共聚合物(HS 390330)出口0.77億美元，</w:t>
      </w:r>
      <w:r w:rsidRPr="73DC89FC">
        <w:rPr>
          <w:rFonts w:ascii="Microsoft JhengHei" w:eastAsia="Microsoft JhengHei" w:hAnsi="Microsoft JhengHei" w:cs="Arial"/>
          <w:color w:val="000000" w:themeColor="text1"/>
        </w:rPr>
        <w:t>年減6.85%；聚碳酸樹脂(HS 390740)出口0.43億美元，年減7.78%。此顯示傳統樹脂受國際供需、價格競爭及下游拉貨力道影響，出口表現相對偏弱。</w:t>
      </w:r>
    </w:p>
    <w:p w14:paraId="16267DF3" w14:textId="27A97D17" w:rsidR="003526C0" w:rsidRPr="00C30C5F" w:rsidRDefault="003526C0" w:rsidP="00470DF3">
      <w:pPr>
        <w:snapToGrid w:val="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 xml:space="preserve">表 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begin"/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instrText>SEQ 表 \* ARABIC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separate"/>
      </w:r>
      <w:r>
        <w:rPr>
          <w:rFonts w:ascii="Microsoft JhengHei" w:eastAsia="Microsoft JhengHei" w:hAnsi="Microsoft JhengHei"/>
          <w:noProof/>
          <w:color w:val="000000" w:themeColor="text1"/>
          <w:szCs w:val="24"/>
        </w:rPr>
        <w:t>2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end"/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>、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台灣塑膠及其製品11</w:t>
      </w:r>
      <w:r w:rsidR="00137399">
        <w:rPr>
          <w:rFonts w:ascii="Microsoft JhengHei" w:eastAsia="Microsoft JhengHei" w:hAnsi="Microsoft JhengHei" w:cs="Arial" w:hint="eastAsia"/>
          <w:color w:val="000000" w:themeColor="text1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年</w:t>
      </w:r>
      <w:r w:rsidR="00472669">
        <w:rPr>
          <w:rFonts w:ascii="Microsoft JhengHei" w:eastAsia="Microsoft JhengHei" w:hAnsi="Microsoft JhengHei" w:cs="Arial"/>
          <w:color w:val="000000" w:themeColor="text1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月前</w:t>
      </w:r>
      <w:r w:rsidR="00D870B0">
        <w:rPr>
          <w:rFonts w:ascii="Microsoft JhengHei" w:eastAsia="Microsoft JhengHei" w:hAnsi="Microsoft JhengHei" w:cs="Arial" w:hint="eastAsia"/>
          <w:color w:val="000000" w:themeColor="text1"/>
        </w:rPr>
        <w:t>十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大出口</w:t>
      </w:r>
      <w:bookmarkEnd w:id="7"/>
      <w:r>
        <w:rPr>
          <w:rFonts w:ascii="Microsoft JhengHei" w:eastAsia="Microsoft JhengHei" w:hAnsi="Microsoft JhengHei" w:cs="Arial" w:hint="eastAsia"/>
          <w:color w:val="000000" w:themeColor="text1"/>
        </w:rPr>
        <w:t>品項</w:t>
      </w:r>
    </w:p>
    <w:tbl>
      <w:tblPr>
        <w:tblW w:w="8272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913"/>
        <w:gridCol w:w="3812"/>
        <w:gridCol w:w="992"/>
        <w:gridCol w:w="1134"/>
        <w:gridCol w:w="901"/>
      </w:tblGrid>
      <w:tr w:rsidR="003526C0" w:rsidRPr="00840BD1" w14:paraId="2B8BF60E" w14:textId="77777777" w:rsidTr="00840BD1">
        <w:trPr>
          <w:trHeight w:val="3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5DBA7F55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序號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56B3D896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  <w:t>HS Code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4C88E43C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中文貨名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3AA8A14C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出口金額</w:t>
            </w:r>
          </w:p>
          <w:p w14:paraId="7240AFBB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(億美元)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36A291F2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出口占比</w:t>
            </w:r>
          </w:p>
          <w:p w14:paraId="15C5B1E1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5C45CAB8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年增率</w:t>
            </w:r>
          </w:p>
          <w:p w14:paraId="7C7EE7B5" w14:textId="77777777" w:rsidR="003526C0" w:rsidRPr="00840BD1" w:rsidRDefault="003526C0" w:rsidP="00840BD1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color w:val="FFFFFF" w:themeColor="background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b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</w:tr>
      <w:tr w:rsidR="004D464D" w:rsidRPr="00840BD1" w14:paraId="0D3938F6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2EC2" w14:textId="77777777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A0BE" w14:textId="36F50A82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392690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71D1" w14:textId="45C04988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其他塑膠製品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1BC5" w14:textId="14E8CCA6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1.60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1AED" w14:textId="2F36042E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10.65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BF13" w14:textId="66774718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-5.06</w:t>
            </w:r>
          </w:p>
        </w:tc>
      </w:tr>
      <w:tr w:rsidR="004D464D" w:rsidRPr="00840BD1" w14:paraId="25EE5E09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EEFC" w14:textId="77777777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bookmarkStart w:id="9" w:name="_Hlk223955453"/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2D89" w14:textId="2931B393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390761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C182" w14:textId="4284454B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黏度值等於或高於</w:t>
            </w:r>
            <w:r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78ml/g (PET)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3871" w14:textId="795812B5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4B4C" w14:textId="464B1255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6.38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9EEA" w14:textId="08EF5D08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59.09</w:t>
            </w:r>
          </w:p>
        </w:tc>
      </w:tr>
      <w:bookmarkEnd w:id="9"/>
      <w:tr w:rsidR="004D464D" w:rsidRPr="00840BD1" w14:paraId="496C2118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23AE" w14:textId="3ABB3443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D37A" w14:textId="4512FF56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390330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EE689" w14:textId="2E495763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丙烯腈－丁二烯－苯乙烯</w:t>
            </w:r>
            <w:r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(ABS)</w:t>
            </w: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共聚合物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EC8F3" w14:textId="267E2BA9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FC813" w14:textId="490B1481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5.15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6AC7" w14:textId="61D0B24D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-6.85</w:t>
            </w:r>
          </w:p>
        </w:tc>
      </w:tr>
      <w:tr w:rsidR="004D464D" w:rsidRPr="00840BD1" w14:paraId="49B6A8AC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4FBE" w14:textId="3AD0C82E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0902" w14:textId="3396C453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391990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07B86" w14:textId="3E88FF40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其他塑膠膠帶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AFCD" w14:textId="44F8F1BA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296F" w14:textId="491E7998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4.62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58A0" w14:textId="1E552F3B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19.54</w:t>
            </w:r>
          </w:p>
        </w:tc>
      </w:tr>
      <w:tr w:rsidR="004D464D" w:rsidRPr="00840BD1" w14:paraId="4CCAA9A0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B150" w14:textId="769C5E61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C3A4E" w14:textId="4EE922EE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390799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A012" w14:textId="28D2849B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其他聚酯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B54B" w14:textId="3CF65031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E785" w14:textId="312BA92A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4.45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BB06" w14:textId="4501BC8E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16.54</w:t>
            </w:r>
          </w:p>
        </w:tc>
      </w:tr>
      <w:tr w:rsidR="004D464D" w:rsidRPr="00840BD1" w14:paraId="65AA715A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2DCD" w14:textId="67DDAEFD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BE0AB" w14:textId="3B9BA9B7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390730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70019" w14:textId="4503E47A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環氧樹脂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A236" w14:textId="3E3DE6AC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D75F" w14:textId="73058E24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4.28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249D" w14:textId="6EAB706B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33.33</w:t>
            </w:r>
          </w:p>
        </w:tc>
      </w:tr>
      <w:tr w:rsidR="004D464D" w:rsidRPr="00840BD1" w14:paraId="531C2465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6D20" w14:textId="3E8F1493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3FE3" w14:textId="3BC87489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392190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CA72" w14:textId="63EE0C23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其他塑膠製板、片、薄膜、箔及扁條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4F3C" w14:textId="4AB769DC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5FC7" w14:textId="372AEBC5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4.22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2ADD" w14:textId="4204BB19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40.15</w:t>
            </w:r>
          </w:p>
        </w:tc>
      </w:tr>
      <w:tr w:rsidR="004D464D" w:rsidRPr="00111F92" w14:paraId="09CF1688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14CC" w14:textId="12151E20" w:rsidR="004D464D" w:rsidRPr="00111F92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111F92">
              <w:rPr>
                <w:rFonts w:ascii="Microsoft JhengHei" w:eastAsia="Microsoft JhengHei" w:hAnsi="Microsoft JhengHei" w:cs="Arial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3DBB6" w14:textId="0D9D81EE" w:rsidR="004D464D" w:rsidRPr="00111F92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111F92">
              <w:rPr>
                <w:rFonts w:ascii="Microsoft JhengHei" w:eastAsia="Microsoft JhengHei" w:hAnsi="Microsoft JhengHei" w:hint="eastAsia"/>
                <w:sz w:val="20"/>
                <w:szCs w:val="18"/>
              </w:rPr>
              <w:t>390690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08380" w14:textId="60BFE322" w:rsidR="004D464D" w:rsidRPr="00111F92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111F92">
              <w:rPr>
                <w:rFonts w:ascii="Microsoft JhengHei" w:eastAsia="Microsoft JhengHei" w:hAnsi="Microsoft JhengHei" w:hint="eastAsia"/>
                <w:sz w:val="20"/>
                <w:szCs w:val="18"/>
              </w:rPr>
              <w:t>其他初級狀態之丙烯酸聚合物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89B0" w14:textId="1DC1950E" w:rsidR="004D464D" w:rsidRPr="00111F92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111F92">
              <w:rPr>
                <w:rFonts w:ascii="Microsoft JhengHei" w:eastAsia="Microsoft JhengHei" w:hAnsi="Microsoft JhengHei" w:hint="eastAsia"/>
                <w:sz w:val="20"/>
                <w:szCs w:val="18"/>
              </w:rPr>
              <w:t>0.57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F17B" w14:textId="04A3C59A" w:rsidR="004D464D" w:rsidRPr="00111F92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111F92">
              <w:rPr>
                <w:rFonts w:ascii="Microsoft JhengHei" w:eastAsia="Microsoft JhengHei" w:hAnsi="Microsoft JhengHei" w:hint="eastAsia"/>
                <w:sz w:val="20"/>
                <w:szCs w:val="18"/>
              </w:rPr>
              <w:t>3.76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B0ED" w14:textId="4A8A7C3B" w:rsidR="004D464D" w:rsidRPr="00111F92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111F92">
              <w:rPr>
                <w:rFonts w:ascii="Microsoft JhengHei" w:eastAsia="Microsoft JhengHei" w:hAnsi="Microsoft JhengHei" w:hint="eastAsia"/>
                <w:sz w:val="20"/>
                <w:szCs w:val="18"/>
              </w:rPr>
              <w:t>26.66</w:t>
            </w:r>
          </w:p>
        </w:tc>
      </w:tr>
      <w:tr w:rsidR="004D464D" w:rsidRPr="00840BD1" w14:paraId="7FA02C4A" w14:textId="77777777" w:rsidTr="00840BD1">
        <w:trPr>
          <w:trHeight w:val="3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117F" w14:textId="4F31797B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2328" w14:textId="680BD748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390410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AFAA" w14:textId="4FED6CAF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聚氯乙烯，未與任何其他物質混合者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E972" w14:textId="639CA34C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8857" w14:textId="19E0610A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3.55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47DA" w14:textId="3DCCCE95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-27.75</w:t>
            </w:r>
          </w:p>
        </w:tc>
      </w:tr>
      <w:tr w:rsidR="004D464D" w:rsidRPr="00840BD1" w14:paraId="2C7A93BB" w14:textId="77777777" w:rsidTr="00840BD1">
        <w:trPr>
          <w:trHeight w:val="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18A1" w14:textId="380E44F1" w:rsidR="004D464D" w:rsidRPr="00840BD1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20"/>
              </w:rPr>
            </w:pPr>
            <w:r w:rsidRPr="00840BD1">
              <w:rPr>
                <w:rFonts w:ascii="Microsoft JhengHei" w:eastAsia="Microsoft JhengHei" w:hAnsi="Microsoft JhengHei" w:cs="Arial" w:hint="eastAsia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BB2B" w14:textId="4169AACB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390740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42ED" w14:textId="1C6F01B3" w:rsidR="004D464D" w:rsidRPr="004D464D" w:rsidRDefault="004D464D" w:rsidP="004D464D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000000" w:themeColor="text1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聚碳酸樹脂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63ED" w14:textId="5D2A9330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0.43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4F2C" w14:textId="4FF78A08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2.88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F6D1" w14:textId="751DFA39" w:rsidR="004D464D" w:rsidRPr="004D464D" w:rsidRDefault="004D464D" w:rsidP="004D464D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18"/>
              </w:rPr>
            </w:pPr>
            <w:r w:rsidRPr="004D464D">
              <w:rPr>
                <w:rFonts w:ascii="Microsoft JhengHei" w:eastAsia="Microsoft JhengHei" w:hAnsi="Microsoft JhengHei" w:hint="eastAsia"/>
                <w:color w:val="000000"/>
                <w:sz w:val="20"/>
                <w:szCs w:val="18"/>
              </w:rPr>
              <w:t>-7.78</w:t>
            </w:r>
          </w:p>
        </w:tc>
      </w:tr>
    </w:tbl>
    <w:p w14:paraId="72626BC6" w14:textId="3B60E8DF" w:rsidR="00882717" w:rsidRPr="0013258C" w:rsidRDefault="003526C0" w:rsidP="0013258C">
      <w:pPr>
        <w:rPr>
          <w:rFonts w:ascii="Microsoft JhengHei" w:eastAsia="Microsoft JhengHei" w:hAnsi="Microsoft JhengHei" w:cs="Arial"/>
          <w:color w:val="000000" w:themeColor="text1"/>
        </w:rPr>
      </w:pPr>
      <w:r w:rsidRPr="00C30C5F">
        <w:rPr>
          <w:rFonts w:ascii="Microsoft JhengHei" w:eastAsia="Microsoft JhengHei" w:hAnsi="Microsoft JhengHei" w:cs="Arial" w:hint="eastAsia"/>
          <w:color w:val="000000" w:themeColor="text1"/>
          <w:sz w:val="20"/>
        </w:rPr>
        <w:t>資料來源：海關進出口統計資料庫；塑膠中心整理。</w:t>
      </w:r>
      <w:bookmarkStart w:id="10" w:name="_Hlk225526485"/>
      <w:bookmarkEnd w:id="8"/>
      <w:r w:rsidR="00882717">
        <w:rPr>
          <w:rFonts w:ascii="Microsoft JhengHei" w:eastAsia="Microsoft JhengHei" w:hAnsi="Microsoft JhengHei" w:cs="Arial"/>
          <w:b/>
          <w:color w:val="000000" w:themeColor="text1"/>
        </w:rPr>
        <w:br w:type="page"/>
      </w:r>
    </w:p>
    <w:p w14:paraId="62546D0F" w14:textId="31C306AB" w:rsidR="00D21326" w:rsidRPr="00111F92" w:rsidRDefault="00DE17FA" w:rsidP="00D21326">
      <w:pPr>
        <w:pStyle w:val="a4"/>
        <w:numPr>
          <w:ilvl w:val="0"/>
          <w:numId w:val="3"/>
        </w:numPr>
        <w:spacing w:beforeLines="50" w:before="180" w:afterLines="50" w:after="180"/>
        <w:ind w:leftChars="0" w:left="284" w:hanging="284"/>
        <w:jc w:val="both"/>
        <w:rPr>
          <w:rFonts w:ascii="Microsoft JhengHei" w:eastAsia="Microsoft JhengHei" w:hAnsi="Microsoft JhengHei" w:cs="Arial"/>
          <w:b/>
        </w:rPr>
      </w:pPr>
      <w:r w:rsidRPr="00C30C5F">
        <w:rPr>
          <w:rFonts w:ascii="Microsoft JhengHei" w:eastAsia="Microsoft JhengHei" w:hAnsi="Microsoft JhengHei" w:cs="Arial" w:hint="eastAsia"/>
          <w:b/>
          <w:color w:val="000000" w:themeColor="text1"/>
        </w:rPr>
        <w:t>出</w:t>
      </w:r>
      <w:r w:rsidRPr="00111F92">
        <w:rPr>
          <w:rFonts w:ascii="Microsoft JhengHei" w:eastAsia="Microsoft JhengHei" w:hAnsi="Microsoft JhengHei" w:cs="Arial" w:hint="eastAsia"/>
          <w:b/>
        </w:rPr>
        <w:t>口國趨勢動能分析</w:t>
      </w:r>
      <w:r w:rsidR="00856BC3" w:rsidRPr="00111F92">
        <w:rPr>
          <w:rFonts w:ascii="Microsoft JhengHei" w:eastAsia="Microsoft JhengHei" w:hAnsi="Microsoft JhengHei" w:cs="Arial" w:hint="eastAsia"/>
          <w:b/>
        </w:rPr>
        <w:t>-</w:t>
      </w:r>
      <w:r w:rsidR="00472669" w:rsidRPr="00111F92">
        <w:rPr>
          <w:rFonts w:ascii="Microsoft JhengHei" w:eastAsia="Microsoft JhengHei" w:hAnsi="Microsoft JhengHei" w:cs="Arial" w:hint="eastAsia"/>
          <w:b/>
        </w:rPr>
        <w:t>歐盟</w:t>
      </w:r>
      <w:r w:rsidR="003C65F1" w:rsidRPr="00111F92">
        <w:rPr>
          <w:rFonts w:ascii="Microsoft JhengHei" w:eastAsia="Microsoft JhengHei" w:hAnsi="Microsoft JhengHei" w:cs="Arial"/>
          <w:b/>
        </w:rPr>
        <w:t xml:space="preserve"> </w:t>
      </w:r>
    </w:p>
    <w:p w14:paraId="3B2838AD" w14:textId="36FF9E08" w:rsidR="005259AD" w:rsidRPr="00111F92" w:rsidRDefault="008651AA" w:rsidP="005259AD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</w:rPr>
      </w:pPr>
      <w:bookmarkStart w:id="11" w:name="_Hlk227663127"/>
      <w:bookmarkEnd w:id="10"/>
      <w:r w:rsidRPr="00111F92">
        <w:rPr>
          <w:rFonts w:ascii="Microsoft JhengHei" w:eastAsia="Microsoft JhengHei" w:hAnsi="Microsoft JhengHei" w:cs="Arial"/>
        </w:rPr>
        <w:t>115年5月台灣塑膠及其製品出口歐盟金額為1.17億美元，占整體出口比重</w:t>
      </w:r>
      <w:r w:rsidR="00552CEA" w:rsidRPr="00111F92">
        <w:rPr>
          <w:rFonts w:ascii="Microsoft JhengHei" w:eastAsia="Microsoft JhengHei" w:hAnsi="Microsoft JhengHei" w:cs="Arial"/>
        </w:rPr>
        <w:t>7.77</w:t>
      </w:r>
      <w:r w:rsidRPr="00111F92">
        <w:rPr>
          <w:rFonts w:ascii="Microsoft JhengHei" w:eastAsia="Microsoft JhengHei" w:hAnsi="Microsoft JhengHei" w:cs="Arial"/>
        </w:rPr>
        <w:t>%，</w:t>
      </w:r>
      <w:r w:rsidR="00F76550" w:rsidRPr="00111F92">
        <w:rPr>
          <w:rFonts w:ascii="Microsoft JhengHei" w:eastAsia="Microsoft JhengHei" w:hAnsi="Microsoft JhengHei" w:cs="Arial"/>
        </w:rPr>
        <w:t>僅次於中國、美國與日本</w:t>
      </w:r>
      <w:r w:rsidR="00317FA7" w:rsidRPr="00111F92">
        <w:rPr>
          <w:rFonts w:ascii="Microsoft JhengHei" w:eastAsia="Microsoft JhengHei" w:hAnsi="Microsoft JhengHei" w:cs="Arial"/>
        </w:rPr>
        <w:t>，於前五大出口國以外仍屬具份量之單一區域市場</w:t>
      </w:r>
      <w:r w:rsidRPr="00111F92">
        <w:rPr>
          <w:rFonts w:ascii="Microsoft JhengHei" w:eastAsia="Microsoft JhengHei" w:hAnsi="Microsoft JhengHei" w:cs="Arial"/>
        </w:rPr>
        <w:t>。</w:t>
      </w:r>
      <w:r w:rsidR="00F76550" w:rsidRPr="00111F92">
        <w:rPr>
          <w:rFonts w:ascii="Microsoft JhengHei" w:eastAsia="Microsoft JhengHei" w:hAnsi="Microsoft JhengHei" w:cs="Arial"/>
        </w:rPr>
        <w:t>依115年5月對歐盟前十大出口產品觀察，</w:t>
      </w:r>
      <w:r w:rsidR="005259AD" w:rsidRPr="00111F92">
        <w:rPr>
          <w:rFonts w:ascii="Microsoft JhengHei" w:eastAsia="Microsoft JhengHei" w:hAnsi="Microsoft JhengHei" w:cs="Arial"/>
        </w:rPr>
        <w:t>前十大合計約占對歐盟出口之68%，</w:t>
      </w:r>
      <w:proofErr w:type="gramStart"/>
      <w:r w:rsidR="005259AD" w:rsidRPr="00111F92">
        <w:rPr>
          <w:rFonts w:ascii="Microsoft JhengHei" w:eastAsia="Microsoft JhengHei" w:hAnsi="Microsoft JhengHei" w:cs="Arial"/>
        </w:rPr>
        <w:t>其中以其他塑膠製品(</w:t>
      </w:r>
      <w:proofErr w:type="gramEnd"/>
      <w:r w:rsidR="005259AD" w:rsidRPr="00111F92">
        <w:rPr>
          <w:rFonts w:ascii="Microsoft JhengHei" w:eastAsia="Microsoft JhengHei" w:hAnsi="Microsoft JhengHei" w:cs="Arial"/>
        </w:rPr>
        <w:t xml:space="preserve">HS </w:t>
      </w:r>
      <w:proofErr w:type="gramStart"/>
      <w:r w:rsidR="005259AD" w:rsidRPr="00111F92">
        <w:rPr>
          <w:rFonts w:ascii="Microsoft JhengHei" w:eastAsia="Microsoft JhengHei" w:hAnsi="Microsoft JhengHei" w:cs="Arial"/>
        </w:rPr>
        <w:t>392690)占出口歐盟</w:t>
      </w:r>
      <w:proofErr w:type="gramEnd"/>
      <w:r w:rsidR="005259AD" w:rsidRPr="00111F92">
        <w:rPr>
          <w:rFonts w:ascii="Microsoft JhengHei" w:eastAsia="Microsoft JhengHei" w:hAnsi="Microsoft JhengHei" w:cs="Arial"/>
        </w:rPr>
        <w:t>26.60%，為最大單一品項，惟該分類屬概括性項目，難以對應特定終端應用，且當月年減19.09%，為</w:t>
      </w:r>
      <w:r w:rsidR="00897FBC" w:rsidRPr="00111F92">
        <w:rPr>
          <w:rFonts w:ascii="Microsoft JhengHei" w:eastAsia="Microsoft JhengHei" w:hAnsi="Microsoft JhengHei" w:cs="Arial"/>
        </w:rPr>
        <w:t>促使整體出口下滑</w:t>
      </w:r>
      <w:r w:rsidR="005259AD" w:rsidRPr="00111F92">
        <w:rPr>
          <w:rFonts w:ascii="Microsoft JhengHei" w:eastAsia="Microsoft JhengHei" w:hAnsi="Microsoft JhengHei" w:cs="Arial"/>
        </w:rPr>
        <w:t>之主要品項之一。</w:t>
      </w:r>
    </w:p>
    <w:p w14:paraId="34EDB970" w14:textId="63D1E802" w:rsidR="005259AD" w:rsidRDefault="005259AD" w:rsidP="008651AA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5259AD">
        <w:rPr>
          <w:rFonts w:ascii="Microsoft JhengHei" w:eastAsia="Microsoft JhengHei" w:hAnsi="Microsoft JhengHei" w:cs="Arial"/>
          <w:color w:val="000000" w:themeColor="text1"/>
        </w:rPr>
        <w:t>其餘品項占比多介於2%至7%，兼具泛用塑膠與特用材料</w:t>
      </w:r>
      <w:r w:rsidR="00142D6C">
        <w:rPr>
          <w:rFonts w:ascii="Microsoft JhengHei" w:eastAsia="Microsoft JhengHei" w:hAnsi="Microsoft JhengHei" w:cs="Arial" w:hint="eastAsia"/>
          <w:color w:val="000000" w:themeColor="text1"/>
        </w:rPr>
        <w:t>。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泛用塑膠方面，聚氯乙烯純料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="00142D6C" w:rsidRPr="005259AD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390410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占6.33%、年增11.21%，併計聚氯乙烯地板及壁材製品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="00142D6C" w:rsidRPr="005259AD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391810，占2.37%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後，聚氯乙烯相關品項合計約8.7%；屬特用或工程用途者，則有環氧樹脂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="00142D6C" w:rsidRPr="005259AD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390730，占3.15%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、ABS共聚物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="00142D6C" w:rsidRPr="005259AD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390330，占3.78%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、高黏度聚對苯二甲酸乙二酯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PET，</w:t>
      </w:r>
      <w:r w:rsidR="00142D6C" w:rsidRPr="005259AD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390761，占4.11%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等。部分品項當月年增明顯，如高黏度PET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+125.11%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、聚乙烯醇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="00142D6C" w:rsidRPr="005259AD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390530，+42.80%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、共聚合物</w:t>
      </w:r>
      <w:r>
        <w:rPr>
          <w:rFonts w:ascii="Microsoft JhengHei" w:eastAsia="Microsoft JhengHei" w:hAnsi="Microsoft JhengHei" w:cs="Arial"/>
          <w:color w:val="000000" w:themeColor="text1"/>
        </w:rPr>
        <w:t>(</w:t>
      </w:r>
      <w:r w:rsidR="00142D6C" w:rsidRPr="005259AD">
        <w:rPr>
          <w:rFonts w:ascii="Microsoft JhengHei" w:eastAsia="Microsoft JhengHei" w:hAnsi="Microsoft JhengHei" w:cs="Arial"/>
          <w:color w:val="000000" w:themeColor="text1"/>
        </w:rPr>
        <w:t xml:space="preserve">HS </w:t>
      </w:r>
      <w:r w:rsidRPr="005259AD">
        <w:rPr>
          <w:rFonts w:ascii="Microsoft JhengHei" w:eastAsia="Microsoft JhengHei" w:hAnsi="Microsoft JhengHei" w:cs="Arial"/>
          <w:color w:val="000000" w:themeColor="text1"/>
        </w:rPr>
        <w:t>390591，+40.58%</w:t>
      </w:r>
      <w:r>
        <w:rPr>
          <w:rFonts w:ascii="Microsoft JhengHei" w:eastAsia="Microsoft JhengHei" w:hAnsi="Microsoft JhengHei" w:cs="Arial"/>
          <w:color w:val="000000" w:themeColor="text1"/>
        </w:rPr>
        <w:t>)</w:t>
      </w:r>
      <w:r>
        <w:rPr>
          <w:rFonts w:ascii="Microsoft JhengHei" w:eastAsia="Microsoft JhengHei" w:hAnsi="Microsoft JhengHei" w:cs="Arial" w:hint="eastAsia"/>
          <w:color w:val="000000" w:themeColor="text1"/>
        </w:rPr>
        <w:t>。</w:t>
      </w:r>
    </w:p>
    <w:p w14:paraId="66E816B2" w14:textId="77777777" w:rsidR="005259AD" w:rsidRPr="008D3A43" w:rsidRDefault="005259AD" w:rsidP="005259AD">
      <w:pPr>
        <w:snapToGrid w:val="0"/>
        <w:spacing w:beforeLines="50" w:before="180" w:afterLines="50" w:after="1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 xml:space="preserve">表 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begin"/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instrText>SEQ 表 \* ARABIC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separate"/>
      </w:r>
      <w:r>
        <w:rPr>
          <w:rFonts w:ascii="Microsoft JhengHei" w:eastAsia="Microsoft JhengHei" w:hAnsi="Microsoft JhengHei"/>
          <w:noProof/>
          <w:color w:val="000000" w:themeColor="text1"/>
          <w:szCs w:val="24"/>
        </w:rPr>
        <w:t>3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end"/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>、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台灣塑膠及其製品11</w:t>
      </w:r>
      <w:r>
        <w:rPr>
          <w:rFonts w:ascii="Microsoft JhengHei" w:eastAsia="Microsoft JhengHei" w:hAnsi="Microsoft JhengHei" w:cs="Arial" w:hint="eastAsia"/>
          <w:color w:val="000000" w:themeColor="text1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年</w:t>
      </w:r>
      <w:r>
        <w:rPr>
          <w:rFonts w:ascii="Microsoft JhengHei" w:eastAsia="Microsoft JhengHei" w:hAnsi="Microsoft JhengHei" w:cs="Arial" w:hint="eastAsia"/>
          <w:color w:val="000000" w:themeColor="text1"/>
        </w:rPr>
        <w:t>5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月前</w:t>
      </w:r>
      <w:r>
        <w:rPr>
          <w:rFonts w:ascii="Microsoft JhengHei" w:eastAsia="Microsoft JhengHei" w:hAnsi="Microsoft JhengHei" w:cs="Arial" w:hint="eastAsia"/>
          <w:color w:val="000000" w:themeColor="text1"/>
        </w:rPr>
        <w:t>十</w:t>
      </w:r>
      <w:r w:rsidRPr="00C30C5F">
        <w:rPr>
          <w:rFonts w:ascii="Microsoft JhengHei" w:eastAsia="Microsoft JhengHei" w:hAnsi="Microsoft JhengHei" w:cs="Arial" w:hint="eastAsia"/>
          <w:color w:val="000000" w:themeColor="text1"/>
        </w:rPr>
        <w:t>大出口</w:t>
      </w:r>
      <w:r>
        <w:rPr>
          <w:rFonts w:ascii="Microsoft JhengHei" w:eastAsia="Microsoft JhengHei" w:hAnsi="Microsoft JhengHei" w:cs="Arial" w:hint="eastAsia"/>
          <w:color w:val="000000" w:themeColor="text1"/>
        </w:rPr>
        <w:t>品項-歐盟</w:t>
      </w:r>
    </w:p>
    <w:tbl>
      <w:tblPr>
        <w:tblStyle w:val="a5"/>
        <w:tblW w:w="8321" w:type="dxa"/>
        <w:tblLook w:val="04A0" w:firstRow="1" w:lastRow="0" w:firstColumn="1" w:lastColumn="0" w:noHBand="0" w:noVBand="1"/>
      </w:tblPr>
      <w:tblGrid>
        <w:gridCol w:w="927"/>
        <w:gridCol w:w="4455"/>
        <w:gridCol w:w="1108"/>
        <w:gridCol w:w="797"/>
        <w:gridCol w:w="1034"/>
      </w:tblGrid>
      <w:tr w:rsidR="005259AD" w:rsidRPr="00552CEA" w14:paraId="44782235" w14:textId="77777777" w:rsidTr="00142D6C">
        <w:trPr>
          <w:trHeight w:val="158"/>
          <w:tblHeader/>
        </w:trPr>
        <w:tc>
          <w:tcPr>
            <w:tcW w:w="927" w:type="dxa"/>
            <w:shd w:val="clear" w:color="auto" w:fill="404040" w:themeFill="text1" w:themeFillTint="BF"/>
            <w:vAlign w:val="center"/>
          </w:tcPr>
          <w:p w14:paraId="70BB9B6E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HS CODE</w:t>
            </w:r>
          </w:p>
        </w:tc>
        <w:tc>
          <w:tcPr>
            <w:tcW w:w="4455" w:type="dxa"/>
            <w:shd w:val="clear" w:color="auto" w:fill="404040" w:themeFill="text1" w:themeFillTint="BF"/>
            <w:noWrap/>
            <w:vAlign w:val="center"/>
            <w:hideMark/>
          </w:tcPr>
          <w:p w14:paraId="6846B2F6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前十大出口產品</w:t>
            </w:r>
          </w:p>
        </w:tc>
        <w:tc>
          <w:tcPr>
            <w:tcW w:w="1108" w:type="dxa"/>
            <w:shd w:val="clear" w:color="auto" w:fill="404040" w:themeFill="text1" w:themeFillTint="BF"/>
            <w:noWrap/>
            <w:vAlign w:val="center"/>
            <w:hideMark/>
          </w:tcPr>
          <w:p w14:paraId="7B4C65B3" w14:textId="77777777" w:rsidR="005259AD" w:rsidRPr="00552CEA" w:rsidRDefault="005259AD" w:rsidP="00A43067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出口總額</w:t>
            </w:r>
          </w:p>
          <w:p w14:paraId="3CE6782B" w14:textId="77777777" w:rsidR="005259AD" w:rsidRPr="00552CEA" w:rsidRDefault="005259AD" w:rsidP="00A43067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(億美元)</w:t>
            </w:r>
          </w:p>
        </w:tc>
        <w:tc>
          <w:tcPr>
            <w:tcW w:w="797" w:type="dxa"/>
            <w:shd w:val="clear" w:color="auto" w:fill="404040" w:themeFill="text1" w:themeFillTint="BF"/>
            <w:noWrap/>
            <w:vAlign w:val="center"/>
            <w:hideMark/>
          </w:tcPr>
          <w:p w14:paraId="709CD213" w14:textId="77777777" w:rsidR="005259AD" w:rsidRPr="00552CEA" w:rsidRDefault="005259AD" w:rsidP="00A43067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占比</w:t>
            </w:r>
          </w:p>
          <w:p w14:paraId="4B34158B" w14:textId="77777777" w:rsidR="005259AD" w:rsidRPr="00552CEA" w:rsidRDefault="005259AD" w:rsidP="00A43067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  <w:tc>
          <w:tcPr>
            <w:tcW w:w="1034" w:type="dxa"/>
            <w:shd w:val="clear" w:color="auto" w:fill="404040" w:themeFill="text1" w:themeFillTint="BF"/>
            <w:noWrap/>
            <w:vAlign w:val="center"/>
            <w:hideMark/>
          </w:tcPr>
          <w:p w14:paraId="282B4C0A" w14:textId="77777777" w:rsidR="005259AD" w:rsidRPr="00552CEA" w:rsidRDefault="005259AD" w:rsidP="00A43067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年增率</w:t>
            </w:r>
          </w:p>
          <w:p w14:paraId="2010ED9B" w14:textId="77777777" w:rsidR="005259AD" w:rsidRPr="00552CEA" w:rsidRDefault="005259AD" w:rsidP="00A43067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(%)</w:t>
            </w:r>
          </w:p>
        </w:tc>
      </w:tr>
      <w:tr w:rsidR="005259AD" w:rsidRPr="00552CEA" w14:paraId="0B26BA69" w14:textId="77777777" w:rsidTr="00142D6C">
        <w:trPr>
          <w:trHeight w:val="142"/>
        </w:trPr>
        <w:tc>
          <w:tcPr>
            <w:tcW w:w="927" w:type="dxa"/>
          </w:tcPr>
          <w:p w14:paraId="4FC52F5C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392690</w:t>
            </w:r>
          </w:p>
        </w:tc>
        <w:tc>
          <w:tcPr>
            <w:tcW w:w="4455" w:type="dxa"/>
            <w:noWrap/>
            <w:hideMark/>
          </w:tcPr>
          <w:p w14:paraId="5AB6A9AC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其他塑膠製品</w:t>
            </w:r>
          </w:p>
        </w:tc>
        <w:tc>
          <w:tcPr>
            <w:tcW w:w="1108" w:type="dxa"/>
            <w:noWrap/>
            <w:vAlign w:val="center"/>
            <w:hideMark/>
          </w:tcPr>
          <w:p w14:paraId="2C980FBD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97" w:type="dxa"/>
            <w:noWrap/>
            <w:vAlign w:val="center"/>
            <w:hideMark/>
          </w:tcPr>
          <w:p w14:paraId="60A0A0D9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26.60</w:t>
            </w:r>
          </w:p>
        </w:tc>
        <w:tc>
          <w:tcPr>
            <w:tcW w:w="1034" w:type="dxa"/>
            <w:noWrap/>
            <w:vAlign w:val="center"/>
            <w:hideMark/>
          </w:tcPr>
          <w:p w14:paraId="0D4780D9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-19.09</w:t>
            </w:r>
          </w:p>
        </w:tc>
      </w:tr>
      <w:tr w:rsidR="005259AD" w:rsidRPr="00552CEA" w14:paraId="63AB3C49" w14:textId="77777777" w:rsidTr="00142D6C">
        <w:trPr>
          <w:trHeight w:val="148"/>
        </w:trPr>
        <w:tc>
          <w:tcPr>
            <w:tcW w:w="927" w:type="dxa"/>
          </w:tcPr>
          <w:p w14:paraId="67C9FCBF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390530</w:t>
            </w:r>
          </w:p>
        </w:tc>
        <w:tc>
          <w:tcPr>
            <w:tcW w:w="4455" w:type="dxa"/>
            <w:noWrap/>
            <w:hideMark/>
          </w:tcPr>
          <w:p w14:paraId="4AF22AD7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聚乙烯醇，不論是否含有未經水解之醋酸基</w:t>
            </w:r>
          </w:p>
        </w:tc>
        <w:tc>
          <w:tcPr>
            <w:tcW w:w="1108" w:type="dxa"/>
            <w:noWrap/>
            <w:vAlign w:val="center"/>
            <w:hideMark/>
          </w:tcPr>
          <w:p w14:paraId="476252D2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97" w:type="dxa"/>
            <w:noWrap/>
            <w:vAlign w:val="center"/>
            <w:hideMark/>
          </w:tcPr>
          <w:p w14:paraId="22101E87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7.27</w:t>
            </w:r>
          </w:p>
        </w:tc>
        <w:tc>
          <w:tcPr>
            <w:tcW w:w="1034" w:type="dxa"/>
            <w:noWrap/>
            <w:vAlign w:val="center"/>
            <w:hideMark/>
          </w:tcPr>
          <w:p w14:paraId="5F6FEB85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42.80</w:t>
            </w:r>
          </w:p>
        </w:tc>
      </w:tr>
      <w:tr w:rsidR="005259AD" w:rsidRPr="00552CEA" w14:paraId="208ADA7E" w14:textId="77777777" w:rsidTr="00142D6C">
        <w:trPr>
          <w:trHeight w:val="148"/>
        </w:trPr>
        <w:tc>
          <w:tcPr>
            <w:tcW w:w="927" w:type="dxa"/>
          </w:tcPr>
          <w:p w14:paraId="3B3496BC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390799</w:t>
            </w:r>
          </w:p>
        </w:tc>
        <w:tc>
          <w:tcPr>
            <w:tcW w:w="4455" w:type="dxa"/>
            <w:noWrap/>
            <w:hideMark/>
          </w:tcPr>
          <w:p w14:paraId="6B877872" w14:textId="7D73AF4B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其他飽和聚酯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(</w:t>
            </w: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屬於初級狀態的塑膠原料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)</w:t>
            </w:r>
          </w:p>
        </w:tc>
        <w:tc>
          <w:tcPr>
            <w:tcW w:w="1108" w:type="dxa"/>
            <w:noWrap/>
            <w:vAlign w:val="center"/>
            <w:hideMark/>
          </w:tcPr>
          <w:p w14:paraId="47249890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97" w:type="dxa"/>
            <w:noWrap/>
            <w:vAlign w:val="center"/>
            <w:hideMark/>
          </w:tcPr>
          <w:p w14:paraId="61FD9C8F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6.42</w:t>
            </w:r>
          </w:p>
        </w:tc>
        <w:tc>
          <w:tcPr>
            <w:tcW w:w="1034" w:type="dxa"/>
            <w:noWrap/>
            <w:vAlign w:val="center"/>
            <w:hideMark/>
          </w:tcPr>
          <w:p w14:paraId="596C0864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31.99</w:t>
            </w:r>
          </w:p>
        </w:tc>
      </w:tr>
      <w:tr w:rsidR="005259AD" w:rsidRPr="00552CEA" w14:paraId="60E024B3" w14:textId="77777777" w:rsidTr="00142D6C">
        <w:trPr>
          <w:trHeight w:val="142"/>
        </w:trPr>
        <w:tc>
          <w:tcPr>
            <w:tcW w:w="927" w:type="dxa"/>
          </w:tcPr>
          <w:p w14:paraId="09ECD869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390410</w:t>
            </w:r>
          </w:p>
        </w:tc>
        <w:tc>
          <w:tcPr>
            <w:tcW w:w="4455" w:type="dxa"/>
            <w:noWrap/>
            <w:hideMark/>
          </w:tcPr>
          <w:p w14:paraId="5E36F64E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聚氯乙烯，未與任何其他物質混合者</w:t>
            </w:r>
          </w:p>
        </w:tc>
        <w:tc>
          <w:tcPr>
            <w:tcW w:w="1108" w:type="dxa"/>
            <w:noWrap/>
            <w:vAlign w:val="center"/>
            <w:hideMark/>
          </w:tcPr>
          <w:p w14:paraId="7D93F715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97" w:type="dxa"/>
            <w:noWrap/>
            <w:vAlign w:val="center"/>
            <w:hideMark/>
          </w:tcPr>
          <w:p w14:paraId="307ADE49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6.33</w:t>
            </w:r>
          </w:p>
        </w:tc>
        <w:tc>
          <w:tcPr>
            <w:tcW w:w="1034" w:type="dxa"/>
            <w:noWrap/>
            <w:vAlign w:val="center"/>
            <w:hideMark/>
          </w:tcPr>
          <w:p w14:paraId="74AE6185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11.21</w:t>
            </w:r>
          </w:p>
        </w:tc>
      </w:tr>
      <w:tr w:rsidR="005259AD" w:rsidRPr="00552CEA" w14:paraId="1CCC0A2E" w14:textId="77777777" w:rsidTr="00142D6C">
        <w:trPr>
          <w:trHeight w:val="154"/>
        </w:trPr>
        <w:tc>
          <w:tcPr>
            <w:tcW w:w="927" w:type="dxa"/>
          </w:tcPr>
          <w:p w14:paraId="11ECCAC3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390591</w:t>
            </w:r>
          </w:p>
        </w:tc>
        <w:tc>
          <w:tcPr>
            <w:tcW w:w="4455" w:type="dxa"/>
            <w:noWrap/>
            <w:hideMark/>
          </w:tcPr>
          <w:p w14:paraId="442B4540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共聚合物</w:t>
            </w:r>
          </w:p>
        </w:tc>
        <w:tc>
          <w:tcPr>
            <w:tcW w:w="1108" w:type="dxa"/>
            <w:noWrap/>
            <w:vAlign w:val="center"/>
            <w:hideMark/>
          </w:tcPr>
          <w:p w14:paraId="4B0C7ABF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97" w:type="dxa"/>
            <w:noWrap/>
            <w:vAlign w:val="center"/>
            <w:hideMark/>
          </w:tcPr>
          <w:p w14:paraId="38CDCAB4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5.54</w:t>
            </w:r>
          </w:p>
        </w:tc>
        <w:tc>
          <w:tcPr>
            <w:tcW w:w="1034" w:type="dxa"/>
            <w:noWrap/>
            <w:vAlign w:val="center"/>
            <w:hideMark/>
          </w:tcPr>
          <w:p w14:paraId="49E622A6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40.58</w:t>
            </w:r>
          </w:p>
        </w:tc>
      </w:tr>
      <w:tr w:rsidR="005259AD" w:rsidRPr="00552CEA" w14:paraId="4D95FB0F" w14:textId="77777777" w:rsidTr="00142D6C">
        <w:trPr>
          <w:trHeight w:val="142"/>
        </w:trPr>
        <w:tc>
          <w:tcPr>
            <w:tcW w:w="927" w:type="dxa"/>
          </w:tcPr>
          <w:p w14:paraId="5AAF5250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390761</w:t>
            </w:r>
          </w:p>
        </w:tc>
        <w:tc>
          <w:tcPr>
            <w:tcW w:w="4455" w:type="dxa"/>
            <w:noWrap/>
            <w:hideMark/>
          </w:tcPr>
          <w:p w14:paraId="12F5AB78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黏度值等於或高於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78ml/g (PET)</w:t>
            </w:r>
          </w:p>
        </w:tc>
        <w:tc>
          <w:tcPr>
            <w:tcW w:w="1108" w:type="dxa"/>
            <w:noWrap/>
            <w:vAlign w:val="center"/>
            <w:hideMark/>
          </w:tcPr>
          <w:p w14:paraId="75BFDD5A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97" w:type="dxa"/>
            <w:noWrap/>
            <w:vAlign w:val="center"/>
            <w:hideMark/>
          </w:tcPr>
          <w:p w14:paraId="5C9BBFD4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4.11</w:t>
            </w:r>
          </w:p>
        </w:tc>
        <w:tc>
          <w:tcPr>
            <w:tcW w:w="1034" w:type="dxa"/>
            <w:noWrap/>
            <w:vAlign w:val="center"/>
            <w:hideMark/>
          </w:tcPr>
          <w:p w14:paraId="5E1B04DA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125.11</w:t>
            </w:r>
          </w:p>
        </w:tc>
      </w:tr>
      <w:tr w:rsidR="005259AD" w:rsidRPr="00552CEA" w14:paraId="22ACEE5F" w14:textId="77777777" w:rsidTr="00142D6C">
        <w:trPr>
          <w:trHeight w:val="148"/>
        </w:trPr>
        <w:tc>
          <w:tcPr>
            <w:tcW w:w="927" w:type="dxa"/>
          </w:tcPr>
          <w:p w14:paraId="0DCD3C74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/>
                <w:sz w:val="20"/>
                <w:szCs w:val="20"/>
              </w:rPr>
              <w:t>390330</w:t>
            </w:r>
          </w:p>
        </w:tc>
        <w:tc>
          <w:tcPr>
            <w:tcW w:w="4455" w:type="dxa"/>
            <w:noWrap/>
            <w:hideMark/>
          </w:tcPr>
          <w:p w14:paraId="1594E4FE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  <w:lang w:eastAsia="zh-CN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  <w:lang w:eastAsia="zh-CN"/>
              </w:rPr>
              <w:t>丙烯腈－丁二烯－苯乙烯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  <w:lang w:eastAsia="zh-CN"/>
              </w:rPr>
              <w:t>(AＢS)</w:t>
            </w: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  <w:lang w:eastAsia="zh-CN"/>
              </w:rPr>
              <w:t>共聚合物</w:t>
            </w:r>
          </w:p>
        </w:tc>
        <w:tc>
          <w:tcPr>
            <w:tcW w:w="1108" w:type="dxa"/>
            <w:noWrap/>
            <w:vAlign w:val="center"/>
            <w:hideMark/>
          </w:tcPr>
          <w:p w14:paraId="0C219641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97" w:type="dxa"/>
            <w:noWrap/>
            <w:vAlign w:val="center"/>
            <w:hideMark/>
          </w:tcPr>
          <w:p w14:paraId="7F8DF501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3.78</w:t>
            </w:r>
          </w:p>
        </w:tc>
        <w:tc>
          <w:tcPr>
            <w:tcW w:w="1034" w:type="dxa"/>
            <w:noWrap/>
            <w:vAlign w:val="center"/>
            <w:hideMark/>
          </w:tcPr>
          <w:p w14:paraId="03FD2CD1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-30.91</w:t>
            </w:r>
          </w:p>
        </w:tc>
      </w:tr>
      <w:tr w:rsidR="005259AD" w:rsidRPr="00552CEA" w14:paraId="2C550801" w14:textId="77777777" w:rsidTr="00142D6C">
        <w:trPr>
          <w:trHeight w:val="154"/>
        </w:trPr>
        <w:tc>
          <w:tcPr>
            <w:tcW w:w="927" w:type="dxa"/>
          </w:tcPr>
          <w:p w14:paraId="5F417EF0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390730</w:t>
            </w:r>
          </w:p>
        </w:tc>
        <w:tc>
          <w:tcPr>
            <w:tcW w:w="4455" w:type="dxa"/>
            <w:noWrap/>
            <w:hideMark/>
          </w:tcPr>
          <w:p w14:paraId="6EAFA184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環氧樹脂</w:t>
            </w:r>
          </w:p>
        </w:tc>
        <w:tc>
          <w:tcPr>
            <w:tcW w:w="1108" w:type="dxa"/>
            <w:noWrap/>
            <w:vAlign w:val="center"/>
            <w:hideMark/>
          </w:tcPr>
          <w:p w14:paraId="62D4271B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97" w:type="dxa"/>
            <w:noWrap/>
            <w:vAlign w:val="center"/>
            <w:hideMark/>
          </w:tcPr>
          <w:p w14:paraId="7FED3536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3.15</w:t>
            </w:r>
          </w:p>
        </w:tc>
        <w:tc>
          <w:tcPr>
            <w:tcW w:w="1034" w:type="dxa"/>
            <w:noWrap/>
            <w:vAlign w:val="center"/>
            <w:hideMark/>
          </w:tcPr>
          <w:p w14:paraId="4A1F42DD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-20.50</w:t>
            </w:r>
          </w:p>
        </w:tc>
      </w:tr>
      <w:tr w:rsidR="005259AD" w:rsidRPr="00552CEA" w14:paraId="3323DA79" w14:textId="77777777" w:rsidTr="00142D6C">
        <w:trPr>
          <w:trHeight w:val="148"/>
        </w:trPr>
        <w:tc>
          <w:tcPr>
            <w:tcW w:w="927" w:type="dxa"/>
          </w:tcPr>
          <w:p w14:paraId="5520E188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391990</w:t>
            </w:r>
          </w:p>
        </w:tc>
        <w:tc>
          <w:tcPr>
            <w:tcW w:w="4455" w:type="dxa"/>
            <w:noWrap/>
            <w:hideMark/>
          </w:tcPr>
          <w:p w14:paraId="69791012" w14:textId="5A0FFD5C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其他自粘性塑膠板、片、箔、帶、條等材料</w:t>
            </w:r>
          </w:p>
        </w:tc>
        <w:tc>
          <w:tcPr>
            <w:tcW w:w="1108" w:type="dxa"/>
            <w:noWrap/>
            <w:vAlign w:val="center"/>
            <w:hideMark/>
          </w:tcPr>
          <w:p w14:paraId="646A716E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97" w:type="dxa"/>
            <w:noWrap/>
            <w:vAlign w:val="center"/>
            <w:hideMark/>
          </w:tcPr>
          <w:p w14:paraId="628E8291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2.64</w:t>
            </w:r>
          </w:p>
        </w:tc>
        <w:tc>
          <w:tcPr>
            <w:tcW w:w="1034" w:type="dxa"/>
            <w:noWrap/>
            <w:vAlign w:val="center"/>
            <w:hideMark/>
          </w:tcPr>
          <w:p w14:paraId="1033ED50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11.08</w:t>
            </w:r>
          </w:p>
        </w:tc>
      </w:tr>
      <w:tr w:rsidR="005259AD" w:rsidRPr="00552CEA" w14:paraId="7B2AC2E6" w14:textId="77777777" w:rsidTr="00142D6C">
        <w:trPr>
          <w:trHeight w:val="148"/>
        </w:trPr>
        <w:tc>
          <w:tcPr>
            <w:tcW w:w="927" w:type="dxa"/>
          </w:tcPr>
          <w:p w14:paraId="01812795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391810</w:t>
            </w:r>
          </w:p>
        </w:tc>
        <w:tc>
          <w:tcPr>
            <w:tcW w:w="4455" w:type="dxa"/>
            <w:noWrap/>
            <w:hideMark/>
          </w:tcPr>
          <w:p w14:paraId="52D82784" w14:textId="77777777" w:rsidR="005259AD" w:rsidRPr="00552CEA" w:rsidRDefault="005259AD" w:rsidP="00A43067">
            <w:pPr>
              <w:widowControl/>
              <w:spacing w:line="0" w:lineRule="atLeas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hint="eastAsia"/>
                <w:sz w:val="20"/>
                <w:szCs w:val="20"/>
              </w:rPr>
              <w:t>氯乙烯聚合物製</w:t>
            </w:r>
          </w:p>
        </w:tc>
        <w:tc>
          <w:tcPr>
            <w:tcW w:w="1108" w:type="dxa"/>
            <w:noWrap/>
            <w:vAlign w:val="bottom"/>
            <w:hideMark/>
          </w:tcPr>
          <w:p w14:paraId="4970C91F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 w:rsidRPr="00552CEA">
              <w:rPr>
                <w:rFonts w:ascii="Microsoft JhengHei" w:eastAsia="Microsoft JhengHei" w:hAnsi="Microsoft JhengHei" w:cs="Arial"/>
                <w:sz w:val="20"/>
                <w:szCs w:val="20"/>
              </w:rPr>
              <w:t>0.03</w:t>
            </w:r>
          </w:p>
        </w:tc>
        <w:tc>
          <w:tcPr>
            <w:tcW w:w="797" w:type="dxa"/>
            <w:noWrap/>
            <w:vAlign w:val="center"/>
            <w:hideMark/>
          </w:tcPr>
          <w:p w14:paraId="06E08B39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2.37</w:t>
            </w:r>
          </w:p>
        </w:tc>
        <w:tc>
          <w:tcPr>
            <w:tcW w:w="1034" w:type="dxa"/>
            <w:noWrap/>
            <w:vAlign w:val="center"/>
            <w:hideMark/>
          </w:tcPr>
          <w:p w14:paraId="6F49BED4" w14:textId="77777777" w:rsidR="005259AD" w:rsidRPr="00552CEA" w:rsidRDefault="005259AD" w:rsidP="00A43067">
            <w:pPr>
              <w:widowControl/>
              <w:spacing w:line="0" w:lineRule="atLeast"/>
              <w:jc w:val="right"/>
              <w:rPr>
                <w:rFonts w:ascii="Microsoft JhengHei" w:eastAsia="Microsoft JhengHei" w:hAnsi="Microsoft JhengHei" w:cs="Arial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-9.44</w:t>
            </w:r>
          </w:p>
        </w:tc>
      </w:tr>
    </w:tbl>
    <w:p w14:paraId="3283E35F" w14:textId="77777777" w:rsidR="005259AD" w:rsidRPr="00F76550" w:rsidRDefault="005259AD" w:rsidP="005259AD">
      <w:pPr>
        <w:rPr>
          <w:rFonts w:ascii="Microsoft JhengHei" w:eastAsia="Microsoft JhengHei" w:hAnsi="Microsoft JhengHei" w:cs="Arial"/>
          <w:color w:val="000000" w:themeColor="text1"/>
          <w:sz w:val="20"/>
        </w:rPr>
      </w:pPr>
      <w:r>
        <w:rPr>
          <w:rFonts w:ascii="Microsoft JhengHei" w:eastAsia="Microsoft JhengHei" w:hAnsi="Microsoft JhengHei" w:cs="Arial" w:hint="eastAsia"/>
          <w:color w:val="000000" w:themeColor="text1"/>
          <w:sz w:val="20"/>
        </w:rPr>
        <w:t>註：歐盟為</w:t>
      </w:r>
      <w:r w:rsidRPr="00F76550">
        <w:rPr>
          <w:rFonts w:ascii="Microsoft JhengHei" w:eastAsia="Microsoft JhengHei" w:hAnsi="Microsoft JhengHei" w:cs="Arial"/>
          <w:color w:val="000000" w:themeColor="text1"/>
          <w:sz w:val="20"/>
        </w:rPr>
        <w:t>德國、法國、荷蘭、比利時、盧森堡、愛爾蘭、丹麥、芬蘭</w:t>
      </w:r>
      <w:r>
        <w:rPr>
          <w:rFonts w:ascii="Microsoft JhengHei" w:eastAsia="Microsoft JhengHei" w:hAnsi="Microsoft JhengHei" w:cs="Arial" w:hint="eastAsia"/>
          <w:color w:val="000000" w:themeColor="text1"/>
          <w:sz w:val="20"/>
        </w:rPr>
        <w:t>、</w:t>
      </w:r>
      <w:r w:rsidRPr="00F76550">
        <w:rPr>
          <w:rFonts w:ascii="Microsoft JhengHei" w:eastAsia="Microsoft JhengHei" w:hAnsi="Microsoft JhengHei" w:cs="Arial"/>
          <w:color w:val="000000" w:themeColor="text1"/>
          <w:sz w:val="20"/>
        </w:rPr>
        <w:t>義大利、西班牙、葡萄牙、希臘、馬爾他</w:t>
      </w:r>
      <w:r>
        <w:rPr>
          <w:rFonts w:ascii="Microsoft JhengHei" w:eastAsia="Microsoft JhengHei" w:hAnsi="Microsoft JhengHei" w:cs="Arial" w:hint="eastAsia"/>
          <w:color w:val="000000" w:themeColor="text1"/>
          <w:sz w:val="20"/>
        </w:rPr>
        <w:t>、</w:t>
      </w:r>
      <w:r w:rsidRPr="00F76550">
        <w:rPr>
          <w:rFonts w:ascii="Microsoft JhengHei" w:eastAsia="Microsoft JhengHei" w:hAnsi="Microsoft JhengHei" w:cs="Arial"/>
          <w:color w:val="000000" w:themeColor="text1"/>
          <w:sz w:val="20"/>
        </w:rPr>
        <w:t>波蘭、捷克、斯洛伐克、匈牙利、奧地利、瑞典、愛沙尼亞、拉脫維亞、立陶宛、斯洛維尼亞、保加利亞、羅馬尼亞</w:t>
      </w:r>
      <w:r>
        <w:rPr>
          <w:rFonts w:ascii="Microsoft JhengHei" w:eastAsia="Microsoft JhengHei" w:hAnsi="Microsoft JhengHei" w:cs="Arial" w:hint="eastAsia"/>
          <w:color w:val="000000" w:themeColor="text1"/>
          <w:sz w:val="20"/>
        </w:rPr>
        <w:t>，共計</w:t>
      </w:r>
      <w:r>
        <w:rPr>
          <w:rFonts w:ascii="Microsoft JhengHei" w:eastAsia="Microsoft JhengHei" w:hAnsi="Microsoft JhengHei" w:cs="Arial"/>
          <w:color w:val="000000" w:themeColor="text1"/>
          <w:sz w:val="20"/>
        </w:rPr>
        <w:t>2</w:t>
      </w:r>
      <w:r>
        <w:rPr>
          <w:rFonts w:ascii="Microsoft JhengHei" w:eastAsia="Microsoft JhengHei" w:hAnsi="Microsoft JhengHei" w:cs="Arial" w:hint="eastAsia"/>
          <w:color w:val="000000" w:themeColor="text1"/>
          <w:sz w:val="20"/>
        </w:rPr>
        <w:t>7國。</w:t>
      </w:r>
    </w:p>
    <w:p w14:paraId="08B68A0F" w14:textId="77777777" w:rsidR="005259AD" w:rsidRPr="00104070" w:rsidRDefault="005259AD" w:rsidP="005259AD">
      <w:pPr>
        <w:rPr>
          <w:rFonts w:ascii="Microsoft JhengHei" w:eastAsia="Microsoft JhengHei" w:hAnsi="Microsoft JhengHei" w:cs="Arial"/>
          <w:color w:val="000000" w:themeColor="text1"/>
          <w:sz w:val="20"/>
        </w:rPr>
      </w:pPr>
      <w:r w:rsidRPr="00C30C5F">
        <w:rPr>
          <w:rFonts w:ascii="Microsoft JhengHei" w:eastAsia="Microsoft JhengHei" w:hAnsi="Microsoft JhengHei" w:cs="Arial" w:hint="eastAsia"/>
          <w:color w:val="000000" w:themeColor="text1"/>
          <w:sz w:val="20"/>
        </w:rPr>
        <w:t>資料來源：海關進出口統計資料庫；塑膠中心整理。</w:t>
      </w:r>
    </w:p>
    <w:p w14:paraId="081CA277" w14:textId="501BF321" w:rsidR="004E5EF4" w:rsidRDefault="004E5EF4" w:rsidP="003561B2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4E5EF4">
        <w:rPr>
          <w:rFonts w:ascii="Microsoft JhengHei" w:eastAsia="Microsoft JhengHei" w:hAnsi="Microsoft JhengHei" w:cs="Arial"/>
          <w:color w:val="000000" w:themeColor="text1"/>
        </w:rPr>
        <w:t>歐盟市場之需求方向，與其推動的循環經濟密切相關。包裝及包裝廢棄物規範</w:t>
      </w:r>
      <w:r w:rsidR="005D1DA6">
        <w:rPr>
          <w:rFonts w:ascii="Microsoft JhengHei" w:eastAsia="Microsoft JhengHei" w:hAnsi="Microsoft JhengHei" w:cs="Arial"/>
          <w:color w:val="000000" w:themeColor="text1"/>
        </w:rPr>
        <w:t>(</w:t>
      </w:r>
      <w:r w:rsidRPr="004E5EF4">
        <w:rPr>
          <w:rFonts w:ascii="Microsoft JhengHei" w:eastAsia="Microsoft JhengHei" w:hAnsi="Microsoft JhengHei" w:cs="Arial"/>
          <w:color w:val="000000" w:themeColor="text1"/>
        </w:rPr>
        <w:t>PPWR</w:t>
      </w:r>
      <w:r w:rsidR="005D1DA6">
        <w:rPr>
          <w:rFonts w:ascii="Microsoft JhengHei" w:eastAsia="Microsoft JhengHei" w:hAnsi="Microsoft JhengHei" w:cs="Arial"/>
          <w:color w:val="000000" w:themeColor="text1"/>
        </w:rPr>
        <w:t>)</w:t>
      </w:r>
      <w:r w:rsidRPr="004E5EF4">
        <w:rPr>
          <w:rFonts w:ascii="Microsoft JhengHei" w:eastAsia="Microsoft JhengHei" w:hAnsi="Microsoft JhengHei" w:cs="Arial"/>
          <w:color w:val="000000" w:themeColor="text1"/>
        </w:rPr>
        <w:t>針對再生料含量與可回收設計提出要求，可能帶動下游品牌商調整材料規格，進而牽動對相關塑膠原料及製品之採購。此外，歐盟在電子與車輛領域對高附加價值材料之需求延續，而台灣對歐盟出口中已有環氧樹脂、ABS共聚物等特用或工程材料，雖當月回落，仍反映既有供應基礎，後續有助於台灣高階特用塑膠尋求發展機會。在出口仍以泛用塑膠與概括性製品為主之情形下，提升附加價值、並對接永續與功能並重之採購方向，將是值得觀察之需求基礎。</w:t>
      </w:r>
    </w:p>
    <w:p w14:paraId="5B488529" w14:textId="539C2EFE" w:rsidR="004E5EF4" w:rsidRDefault="004E5EF4" w:rsidP="003561B2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4E5EF4">
        <w:rPr>
          <w:rFonts w:ascii="Microsoft JhengHei" w:eastAsia="Microsoft JhengHei" w:hAnsi="Microsoft JhengHei" w:cs="Arial"/>
          <w:color w:val="000000" w:themeColor="text1"/>
        </w:rPr>
        <w:t>在限制方面，歐盟近期生效之規範以包裝領域最為直接。PPWR 已於2025年2月生效，並自2026年8月12日起適用，要求所有包裝須可回收，並規定塑膠包裝須含一定比例之消費後再生料；食品接觸包裝亦自2026年8月12日起禁止PFAS超過特定濃度門檻。就台灣對歐盟之出口結構而言，聚氯乙烯純料與其製品、其他自粘性塑膠板片箔帶等品項，部分可能涉及包裝、薄膜或片材應用，後續或面臨更高之設計與材料要求；惟出口占比最高之其他塑膠製品</w:t>
      </w:r>
      <w:r w:rsidR="005D1DA6">
        <w:rPr>
          <w:rFonts w:ascii="Microsoft JhengHei" w:eastAsia="Microsoft JhengHei" w:hAnsi="Microsoft JhengHei" w:cs="Arial"/>
          <w:color w:val="000000" w:themeColor="text1"/>
        </w:rPr>
        <w:t>(</w:t>
      </w:r>
      <w:r>
        <w:rPr>
          <w:rFonts w:ascii="Microsoft JhengHei" w:eastAsia="Microsoft JhengHei" w:hAnsi="Microsoft JhengHei" w:cs="Arial" w:hint="eastAsia"/>
          <w:color w:val="000000" w:themeColor="text1"/>
        </w:rPr>
        <w:t xml:space="preserve">HS </w:t>
      </w:r>
      <w:r w:rsidRPr="004E5EF4">
        <w:rPr>
          <w:rFonts w:ascii="Microsoft JhengHei" w:eastAsia="Microsoft JhengHei" w:hAnsi="Microsoft JhengHei" w:cs="Arial"/>
          <w:color w:val="000000" w:themeColor="text1"/>
        </w:rPr>
        <w:t>392690</w:t>
      </w:r>
      <w:r w:rsidR="005D1DA6">
        <w:rPr>
          <w:rFonts w:ascii="Microsoft JhengHei" w:eastAsia="Microsoft JhengHei" w:hAnsi="Microsoft JhengHei" w:cs="Arial"/>
          <w:color w:val="000000" w:themeColor="text1"/>
        </w:rPr>
        <w:t>)</w:t>
      </w:r>
      <w:r w:rsidRPr="004E5EF4">
        <w:rPr>
          <w:rFonts w:ascii="Microsoft JhengHei" w:eastAsia="Microsoft JhengHei" w:hAnsi="Microsoft JhengHei" w:cs="Arial"/>
          <w:color w:val="000000" w:themeColor="text1"/>
        </w:rPr>
        <w:t>屬概括性分類，難以精確對應受規範範圍，相關影響仍須結合細項用途持續觀察。</w:t>
      </w:r>
    </w:p>
    <w:p w14:paraId="16462FC8" w14:textId="761BD69B" w:rsidR="00956BAE" w:rsidRDefault="008651AA" w:rsidP="003561B2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中長期來看，歐盟永續產品生態設計規範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ESPR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與數位產品護照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DPP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將提高產品資訊揭露與供應鏈可追溯要求，碳足跡、再生料含量、限制物質與產品環境資訊等資料須逐步整備；相關產品別規定預計於2026至2030年間透過授權法案陸續適用，中央DPP登錄系統亦預計於2026年7月前部署。</w:t>
      </w:r>
      <w:r w:rsidR="00956BAE" w:rsidRPr="00956BAE">
        <w:rPr>
          <w:rFonts w:ascii="Microsoft JhengHei" w:eastAsia="Microsoft JhengHei" w:hAnsi="Microsoft JhengHei" w:cs="Arial"/>
          <w:color w:val="000000" w:themeColor="text1"/>
        </w:rPr>
        <w:t>化學品管理方面，</w:t>
      </w:r>
      <w:r w:rsidR="00956BAE" w:rsidRPr="004E5EF4">
        <w:rPr>
          <w:rFonts w:ascii="Microsoft JhengHei" w:eastAsia="Microsoft JhengHei" w:hAnsi="Microsoft JhengHei" w:cs="Arial"/>
          <w:color w:val="000000" w:themeColor="text1"/>
        </w:rPr>
        <w:t>歐盟化學品註冊、評估、許可和限制法規</w:t>
      </w:r>
      <w:r w:rsidR="00956BAE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="00956BAE" w:rsidRPr="008651AA">
        <w:rPr>
          <w:rFonts w:ascii="Microsoft JhengHei" w:eastAsia="Microsoft JhengHei" w:hAnsi="Microsoft JhengHei" w:cs="Arial" w:hint="eastAsia"/>
          <w:color w:val="000000" w:themeColor="text1"/>
        </w:rPr>
        <w:t>REACH</w:t>
      </w:r>
      <w:r w:rsidR="00956BAE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="00956BAE" w:rsidRPr="00956BAE">
        <w:rPr>
          <w:rFonts w:ascii="Microsoft JhengHei" w:eastAsia="Microsoft JhengHei" w:hAnsi="Microsoft JhengHei" w:cs="Arial"/>
          <w:color w:val="000000" w:themeColor="text1"/>
        </w:rPr>
        <w:t>普遍性</w:t>
      </w:r>
      <w:r w:rsidR="00956BAE" w:rsidRPr="004E5EF4">
        <w:rPr>
          <w:rFonts w:ascii="Microsoft JhengHei" w:eastAsia="Microsoft JhengHei" w:hAnsi="Microsoft JhengHei" w:cs="Arial"/>
          <w:color w:val="000000" w:themeColor="text1"/>
        </w:rPr>
        <w:t>全氟及多氟烷基物質</w:t>
      </w:r>
      <w:r w:rsidR="00956BAE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="00956BAE" w:rsidRPr="00956BAE">
        <w:rPr>
          <w:rFonts w:ascii="Microsoft JhengHei" w:eastAsia="Microsoft JhengHei" w:hAnsi="Microsoft JhengHei" w:cs="Arial"/>
          <w:color w:val="000000" w:themeColor="text1"/>
        </w:rPr>
        <w:t>PFAS</w:t>
      </w:r>
      <w:r w:rsidR="00956BAE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="00956BAE" w:rsidRPr="00956BAE">
        <w:rPr>
          <w:rFonts w:ascii="Microsoft JhengHei" w:eastAsia="Microsoft JhengHei" w:hAnsi="Microsoft JhengHei" w:cs="Arial"/>
          <w:color w:val="000000" w:themeColor="text1"/>
        </w:rPr>
        <w:t>限制仍持續推進，若後續正式納入限制規範，含氟樹脂及相關特用材料應用可能受到影響。隨著再生料來源驗證、材料成分揭露與供應鏈追溯要求趨嚴，對驗證量能不足之中小企業而言，合規成本與文件管理壓力將進一步提高。</w:t>
      </w:r>
    </w:p>
    <w:bookmarkEnd w:id="11"/>
    <w:p w14:paraId="7D20A74C" w14:textId="77777777" w:rsidR="00956BAE" w:rsidRDefault="00956BAE">
      <w:pPr>
        <w:widowControl/>
        <w:rPr>
          <w:rFonts w:ascii="Microsoft JhengHei" w:eastAsia="Microsoft JhengHei" w:hAnsi="Microsoft JhengHei"/>
          <w:color w:val="000000" w:themeColor="text1"/>
          <w:szCs w:val="24"/>
        </w:rPr>
      </w:pPr>
      <w:r>
        <w:rPr>
          <w:rFonts w:ascii="Microsoft JhengHei" w:eastAsia="Microsoft JhengHei" w:hAnsi="Microsoft JhengHei"/>
          <w:color w:val="000000" w:themeColor="text1"/>
          <w:szCs w:val="24"/>
        </w:rPr>
        <w:br w:type="page"/>
      </w:r>
    </w:p>
    <w:p w14:paraId="1BEE393B" w14:textId="2D1E43ED" w:rsidR="00122E4B" w:rsidRPr="008651AA" w:rsidRDefault="00122E4B" w:rsidP="008651AA">
      <w:pPr>
        <w:widowControl/>
        <w:rPr>
          <w:rFonts w:ascii="Microsoft JhengHei" w:eastAsia="Microsoft JhengHei" w:hAnsi="Microsoft JhengHei" w:cs="Arial"/>
          <w:color w:val="000000" w:themeColor="text1"/>
          <w:sz w:val="20"/>
        </w:rPr>
      </w:pPr>
      <w:r w:rsidRPr="73DC89FC">
        <w:rPr>
          <w:rFonts w:ascii="Microsoft JhengHei" w:eastAsia="Microsoft JhengHei" w:hAnsi="Microsoft JhengHei"/>
          <w:color w:val="000000" w:themeColor="text1"/>
        </w:rPr>
        <w:t xml:space="preserve">表 </w:t>
      </w:r>
      <w:r w:rsidRPr="73DC89FC">
        <w:rPr>
          <w:rFonts w:ascii="Microsoft JhengHei" w:eastAsia="Microsoft JhengHei" w:hAnsi="Microsoft JhengHei"/>
          <w:color w:val="000000" w:themeColor="text1"/>
        </w:rPr>
        <w:fldChar w:fldCharType="begin"/>
      </w:r>
      <w:r w:rsidRPr="73DC89FC">
        <w:rPr>
          <w:rFonts w:ascii="Microsoft JhengHei" w:eastAsia="Microsoft JhengHei" w:hAnsi="Microsoft JhengHei"/>
          <w:color w:val="000000" w:themeColor="text1"/>
        </w:rPr>
        <w:instrText xml:space="preserve"> SEQ 表 \* ARABIC </w:instrText>
      </w:r>
      <w:r w:rsidRPr="73DC89FC">
        <w:rPr>
          <w:rFonts w:ascii="Microsoft JhengHei" w:eastAsia="Microsoft JhengHei" w:hAnsi="Microsoft JhengHei"/>
          <w:color w:val="000000" w:themeColor="text1"/>
        </w:rPr>
        <w:fldChar w:fldCharType="separate"/>
      </w:r>
      <w:r w:rsidR="003561B2" w:rsidRPr="73DC89FC">
        <w:rPr>
          <w:rFonts w:ascii="Microsoft JhengHei" w:eastAsia="Microsoft JhengHei" w:hAnsi="Microsoft JhengHei"/>
          <w:noProof/>
          <w:color w:val="000000" w:themeColor="text1"/>
        </w:rPr>
        <w:t>3</w:t>
      </w:r>
      <w:r w:rsidRPr="73DC89FC">
        <w:rPr>
          <w:rFonts w:ascii="Microsoft JhengHei" w:eastAsia="Microsoft JhengHei" w:hAnsi="Microsoft JhengHei"/>
          <w:color w:val="000000" w:themeColor="text1"/>
        </w:rPr>
        <w:fldChar w:fldCharType="end"/>
      </w:r>
      <w:r w:rsidRPr="73DC89FC">
        <w:rPr>
          <w:rFonts w:ascii="Microsoft JhengHei" w:eastAsia="Microsoft JhengHei" w:hAnsi="Microsoft JhengHei"/>
          <w:color w:val="000000" w:themeColor="text1"/>
        </w:rPr>
        <w:t>、</w:t>
      </w:r>
      <w:r w:rsidRPr="73DC89FC">
        <w:rPr>
          <w:rFonts w:ascii="Microsoft JhengHei" w:eastAsia="Microsoft JhengHei" w:hAnsi="Microsoft JhengHei" w:cs="Arial"/>
          <w:color w:val="000000" w:themeColor="text1"/>
        </w:rPr>
        <w:t>影響台對</w:t>
      </w:r>
      <w:r w:rsidR="00C329DC" w:rsidRPr="73DC89FC">
        <w:rPr>
          <w:rFonts w:ascii="Microsoft JhengHei" w:eastAsia="Microsoft JhengHei" w:hAnsi="Microsoft JhengHei" w:cs="Arial"/>
          <w:color w:val="000000" w:themeColor="text1"/>
        </w:rPr>
        <w:t>歐盟</w:t>
      </w:r>
      <w:r w:rsidRPr="73DC89FC">
        <w:rPr>
          <w:rFonts w:ascii="Microsoft JhengHei" w:eastAsia="Microsoft JhengHei" w:hAnsi="Microsoft JhengHei" w:cs="Arial"/>
          <w:color w:val="000000" w:themeColor="text1"/>
        </w:rPr>
        <w:t>塑膠出口之核心法規</w:t>
      </w:r>
    </w:p>
    <w:tbl>
      <w:tblPr>
        <w:tblStyle w:val="a5"/>
        <w:tblW w:w="8527" w:type="dxa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2153"/>
      </w:tblGrid>
      <w:tr w:rsidR="009030A2" w:rsidRPr="009030A2" w14:paraId="5A09C3FE" w14:textId="77777777" w:rsidTr="73DC89FC">
        <w:trPr>
          <w:trHeight w:val="768"/>
          <w:tblHeader/>
        </w:trPr>
        <w:tc>
          <w:tcPr>
            <w:tcW w:w="2122" w:type="dxa"/>
            <w:shd w:val="clear" w:color="auto" w:fill="3B3838" w:themeFill="background2" w:themeFillShade="40"/>
            <w:vAlign w:val="center"/>
            <w:hideMark/>
          </w:tcPr>
          <w:p w14:paraId="47D20F56" w14:textId="4FF03E05" w:rsidR="009030A2" w:rsidRPr="00993815" w:rsidRDefault="009030A2" w:rsidP="009030A2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  <w:t>核心法規與規範面向</w:t>
            </w:r>
          </w:p>
        </w:tc>
        <w:tc>
          <w:tcPr>
            <w:tcW w:w="2126" w:type="dxa"/>
            <w:shd w:val="clear" w:color="auto" w:fill="3B3838" w:themeFill="background2" w:themeFillShade="40"/>
            <w:vAlign w:val="center"/>
            <w:hideMark/>
          </w:tcPr>
          <w:p w14:paraId="60A33BD8" w14:textId="77777777" w:rsidR="009030A2" w:rsidRPr="00993815" w:rsidRDefault="009030A2" w:rsidP="009030A2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  <w:t>實施與關鍵時間點</w:t>
            </w:r>
          </w:p>
        </w:tc>
        <w:tc>
          <w:tcPr>
            <w:tcW w:w="2126" w:type="dxa"/>
            <w:shd w:val="clear" w:color="auto" w:fill="3B3838" w:themeFill="background2" w:themeFillShade="40"/>
            <w:vAlign w:val="center"/>
            <w:hideMark/>
          </w:tcPr>
          <w:p w14:paraId="713BB2FE" w14:textId="77777777" w:rsidR="009030A2" w:rsidRPr="00993815" w:rsidRDefault="009030A2" w:rsidP="009030A2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  <w:t>核心規範重點</w:t>
            </w:r>
          </w:p>
        </w:tc>
        <w:tc>
          <w:tcPr>
            <w:tcW w:w="2153" w:type="dxa"/>
            <w:shd w:val="clear" w:color="auto" w:fill="3B3838" w:themeFill="background2" w:themeFillShade="40"/>
            <w:vAlign w:val="center"/>
            <w:hideMark/>
          </w:tcPr>
          <w:p w14:paraId="0BF5D6FF" w14:textId="77777777" w:rsidR="00317FA7" w:rsidRDefault="009030A2" w:rsidP="009030A2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  <w:t>對台出口之</w:t>
            </w:r>
          </w:p>
          <w:p w14:paraId="1A4EBF33" w14:textId="63E60FB7" w:rsidR="009030A2" w:rsidRPr="00993815" w:rsidRDefault="009030A2" w:rsidP="009030A2">
            <w:pPr>
              <w:widowControl/>
              <w:spacing w:line="0" w:lineRule="atLeast"/>
              <w:jc w:val="center"/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color w:val="FFFFFF" w:themeColor="background1"/>
                <w:kern w:val="0"/>
                <w:sz w:val="20"/>
                <w:szCs w:val="24"/>
              </w:rPr>
              <w:t>實質影響與挑戰</w:t>
            </w:r>
          </w:p>
        </w:tc>
      </w:tr>
      <w:tr w:rsidR="009030A2" w:rsidRPr="009030A2" w14:paraId="29502DC8" w14:textId="77777777" w:rsidTr="73DC89FC">
        <w:trPr>
          <w:trHeight w:val="3051"/>
        </w:trPr>
        <w:tc>
          <w:tcPr>
            <w:tcW w:w="2122" w:type="dxa"/>
            <w:hideMark/>
          </w:tcPr>
          <w:p w14:paraId="43B0D784" w14:textId="4CAB7E4E" w:rsidR="009030A2" w:rsidRPr="00993815" w:rsidRDefault="009030A2" w:rsidP="00006A64">
            <w:pPr>
              <w:widowControl/>
              <w:spacing w:line="0" w:lineRule="atLeast"/>
              <w:jc w:val="both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包裝及包裝廢棄物規範</w:t>
            </w:r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(</w:t>
            </w: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PPWR，Regulation (EU) 2025/40</w:t>
            </w:r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)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br/>
              <w:t>再生料含量、可回收設計、食品接觸包裝 PFAS 限制</w:t>
            </w:r>
          </w:p>
        </w:tc>
        <w:tc>
          <w:tcPr>
            <w:tcW w:w="2126" w:type="dxa"/>
            <w:hideMark/>
          </w:tcPr>
          <w:p w14:paraId="7248C089" w14:textId="326D2631" w:rsidR="009030A2" w:rsidRPr="00111F92" w:rsidRDefault="009030A2" w:rsidP="00006A64">
            <w:pPr>
              <w:widowControl/>
              <w:spacing w:line="0" w:lineRule="atLeast"/>
              <w:jc w:val="both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 xml:space="preserve">2025年2月11 日生效，2026年 8月12日起適用；可回收設計自 2030年1月1日、規模化回收自 2035 年起；再生料含量目標分階段至2030與2040年 </w:t>
            </w:r>
          </w:p>
        </w:tc>
        <w:tc>
          <w:tcPr>
            <w:tcW w:w="2126" w:type="dxa"/>
            <w:hideMark/>
          </w:tcPr>
          <w:p w14:paraId="6C0F42F3" w14:textId="31A7FC52" w:rsidR="009030A2" w:rsidRPr="00111F92" w:rsidRDefault="009030A2" w:rsidP="00006A64">
            <w:pPr>
              <w:widowControl/>
              <w:spacing w:line="0" w:lineRule="atLeast"/>
              <w:jc w:val="both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要求所有包裝須可回收，並規定塑膠包裝須含一定比例之消費後再生料；食品接觸包裝自 2026年8月12日起禁止PFAS超過特定濃度門檻；強化標示、減量與生產者延伸責任</w:t>
            </w:r>
            <w:r w:rsidR="00C329DC" w:rsidRPr="00111F92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(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EPR</w:t>
            </w:r>
            <w:r w:rsidR="00C329DC" w:rsidRPr="00111F92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)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 xml:space="preserve"> </w:t>
            </w:r>
          </w:p>
        </w:tc>
        <w:tc>
          <w:tcPr>
            <w:tcW w:w="2153" w:type="dxa"/>
            <w:hideMark/>
          </w:tcPr>
          <w:p w14:paraId="208855CC" w14:textId="6A3337AB" w:rsidR="009030A2" w:rsidRPr="00111F92" w:rsidRDefault="00006A64" w:rsidP="00006A64">
            <w:pPr>
              <w:widowControl/>
              <w:spacing w:line="0" w:lineRule="atLeast"/>
              <w:jc w:val="both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涉及包裝、薄膜或片材應用之品項較直接：聚乙烯醇</w:t>
            </w:r>
            <w:r w:rsidR="005259AD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(</w:t>
            </w:r>
            <w:r w:rsidRPr="00111F92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 xml:space="preserve">HS 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390530</w:t>
            </w:r>
            <w:r w:rsidR="005259AD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)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常用於水溶性包裝與阻隔膜、自粘性塑膠片帶</w:t>
            </w:r>
            <w:r w:rsidR="005259AD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(</w:t>
            </w:r>
            <w:r w:rsidRPr="00111F92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 xml:space="preserve">HS 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391990</w:t>
            </w:r>
            <w:r w:rsidR="005259AD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)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可能用於包裝膠帶與標籤、聚氯乙烯純料</w:t>
            </w:r>
            <w:r w:rsidR="005259AD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(</w:t>
            </w:r>
            <w:r w:rsidRPr="00111F92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 xml:space="preserve">HS 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390410</w:t>
            </w:r>
            <w:r w:rsidR="005259AD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)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部分流向包裝薄膜</w:t>
            </w:r>
          </w:p>
        </w:tc>
      </w:tr>
      <w:tr w:rsidR="009030A2" w:rsidRPr="009030A2" w14:paraId="6F32ECE3" w14:textId="77777777" w:rsidTr="73DC89FC">
        <w:trPr>
          <w:trHeight w:val="3321"/>
        </w:trPr>
        <w:tc>
          <w:tcPr>
            <w:tcW w:w="2122" w:type="dxa"/>
            <w:hideMark/>
          </w:tcPr>
          <w:p w14:paraId="03F90DC1" w14:textId="51139480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永續產品生態設計規範</w:t>
            </w:r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(</w:t>
            </w: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ESPR，Regulation (EU) 2024/1781</w:t>
            </w:r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)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br/>
              <w:t>耐久性、可維修、可回收、再生料、限用物質</w:t>
            </w:r>
          </w:p>
        </w:tc>
        <w:tc>
          <w:tcPr>
            <w:tcW w:w="2126" w:type="dxa"/>
            <w:hideMark/>
          </w:tcPr>
          <w:p w14:paraId="04914C28" w14:textId="1DFC05F7" w:rsidR="009030A2" w:rsidRPr="00111F92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2024年7月18日生效，取代原生態設計指令；2025</w:t>
            </w:r>
            <w:r w:rsidR="008143FE" w:rsidRPr="00111F92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-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 xml:space="preserve">2030年工作計畫於2025年4月16日發布；各產品別授權法案於 2026至2030 年間陸續發布，每項授權法案附至少 18 個月過渡期 </w:t>
            </w:r>
          </w:p>
        </w:tc>
        <w:tc>
          <w:tcPr>
            <w:tcW w:w="2126" w:type="dxa"/>
            <w:hideMark/>
          </w:tcPr>
          <w:p w14:paraId="55233FFF" w14:textId="31C4BE1A" w:rsidR="009030A2" w:rsidRPr="00111F92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 xml:space="preserve">以授權法案分產品群訂定生態設計要求，涵蓋耐久性、可回收性與更嚴格之永續標準；電子、電器等優先產品群先行，限制物質與再生料為核心面向 </w:t>
            </w:r>
          </w:p>
        </w:tc>
        <w:tc>
          <w:tcPr>
            <w:tcW w:w="2153" w:type="dxa"/>
            <w:hideMark/>
          </w:tcPr>
          <w:p w14:paraId="445AEC95" w14:textId="7AFD8062" w:rsidR="009030A2" w:rsidRPr="00111F92" w:rsidRDefault="63C706B2" w:rsidP="00E65BDF">
            <w:pPr>
              <w:widowControl/>
              <w:spacing w:line="0" w:lineRule="atLeast"/>
              <w:jc w:val="both"/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規範對象為最終產品，塑膠及塑膠原料目前尚未列為強制適用產品群。惟</w:t>
            </w:r>
            <w:r w:rsidR="2023CC07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下游成品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納管後</w:t>
            </w:r>
            <w:r w:rsidR="2023CC07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須符合再生料與可回收要求，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將間接反映於</w:t>
            </w:r>
            <w:r w:rsidR="2023CC07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材料規格壓力</w:t>
            </w:r>
          </w:p>
        </w:tc>
      </w:tr>
      <w:tr w:rsidR="009030A2" w:rsidRPr="009030A2" w14:paraId="3CC13127" w14:textId="77777777" w:rsidTr="73DC89FC">
        <w:trPr>
          <w:trHeight w:val="2261"/>
        </w:trPr>
        <w:tc>
          <w:tcPr>
            <w:tcW w:w="2122" w:type="dxa"/>
            <w:hideMark/>
          </w:tcPr>
          <w:p w14:paraId="0FB6BBBA" w14:textId="04C7B15A" w:rsidR="009030A2" w:rsidRPr="00993815" w:rsidRDefault="1C957FDF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0"/>
              </w:rPr>
              <w:t>數位產品護照</w:t>
            </w:r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0"/>
              </w:rPr>
              <w:t>(</w:t>
            </w: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0"/>
              </w:rPr>
              <w:t>DPP，隸屬 ESPR</w:t>
            </w:r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0"/>
              </w:rPr>
              <w:t>)</w:t>
            </w:r>
            <w:r w:rsidR="009030A2"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br/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產品資訊揭露與可追溯</w:t>
            </w:r>
          </w:p>
        </w:tc>
        <w:tc>
          <w:tcPr>
            <w:tcW w:w="2126" w:type="dxa"/>
            <w:hideMark/>
          </w:tcPr>
          <w:p w14:paraId="704C7A67" w14:textId="2506CF2E" w:rsidR="009030A2" w:rsidRPr="00111F92" w:rsidRDefault="009030A2" w:rsidP="00EB5D8C">
            <w:pPr>
              <w:widowControl/>
              <w:spacing w:line="0" w:lineRule="atLeast"/>
              <w:jc w:val="both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中央DPP登錄系統預計2026年7月前部署；首個強制性DPP為電池護照，自2027年2月18日起適用；其餘產品群依授權法案自2027年起分階段適用</w:t>
            </w:r>
          </w:p>
        </w:tc>
        <w:tc>
          <w:tcPr>
            <w:tcW w:w="2126" w:type="dxa"/>
            <w:hideMark/>
          </w:tcPr>
          <w:p w14:paraId="4100A539" w14:textId="7A8E4F98" w:rsidR="009030A2" w:rsidRPr="00111F92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以數位載體</w:t>
            </w:r>
            <w:r w:rsidR="009C5511" w:rsidRPr="00111F92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(如QR Code)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連結產品材料組成、限制物質、環境績效、耐久性與生命週期末端等資訊，供消費者、監管機關與回收業者查閱</w:t>
            </w:r>
          </w:p>
        </w:tc>
        <w:tc>
          <w:tcPr>
            <w:tcW w:w="2153" w:type="dxa"/>
            <w:hideMark/>
          </w:tcPr>
          <w:p w14:paraId="50CF5373" w14:textId="09C5B29A" w:rsidR="009030A2" w:rsidRPr="00111F92" w:rsidRDefault="00897FBC" w:rsidP="00E65BDF">
            <w:pPr>
              <w:widowControl/>
              <w:spacing w:line="0" w:lineRule="atLeast"/>
              <w:jc w:val="both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塑膠及塑膠原料目前尚未列為DPP強制適用產品群，惟</w:t>
            </w:r>
            <w:r w:rsidR="2023CC07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下游</w:t>
            </w:r>
            <w:r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成品(</w:t>
            </w:r>
            <w:r w:rsidR="19072E11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如電子、家具等)納管後，</w:t>
            </w:r>
            <w:r w:rsidR="2023CC07" w:rsidRPr="00111F92">
              <w:rPr>
                <w:rFonts w:ascii="Microsoft JhengHei" w:eastAsia="Microsoft JhengHei" w:hAnsi="Microsoft JhengHei" w:cs="PMingLiU"/>
                <w:kern w:val="0"/>
                <w:sz w:val="20"/>
                <w:szCs w:val="20"/>
              </w:rPr>
              <w:t>產品商為填列碳足跡、再生料含量等欄位，將要求上游提供對應數據，形成資料整備壓力；中小材料供應商配合成本可能升高</w:t>
            </w:r>
          </w:p>
        </w:tc>
      </w:tr>
      <w:tr w:rsidR="009030A2" w:rsidRPr="009030A2" w14:paraId="110B1E99" w14:textId="77777777" w:rsidTr="73DC89FC">
        <w:trPr>
          <w:trHeight w:val="642"/>
        </w:trPr>
        <w:tc>
          <w:tcPr>
            <w:tcW w:w="2122" w:type="dxa"/>
            <w:hideMark/>
          </w:tcPr>
          <w:p w14:paraId="5A877EDB" w14:textId="4B34E0DC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REACH普遍性PFAS限制</w:t>
            </w:r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(</w:t>
            </w:r>
            <w:proofErr w:type="spellStart"/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uPFAS</w:t>
            </w:r>
            <w:proofErr w:type="spellEnd"/>
            <w:r w:rsidR="005259AD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)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br/>
              <w:t>全氟／多氟烷基物質之製造、上市與使用</w:t>
            </w:r>
          </w:p>
        </w:tc>
        <w:tc>
          <w:tcPr>
            <w:tcW w:w="2126" w:type="dxa"/>
            <w:hideMark/>
          </w:tcPr>
          <w:p w14:paraId="1B1A81A9" w14:textId="0AB0CDD7" w:rsidR="009030A2" w:rsidRPr="00993815" w:rsidRDefault="00EB5D8C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歐盟風險評估委員會(</w:t>
            </w:r>
            <w:r w:rsidR="009030A2"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RAC</w:t>
            </w:r>
            <w:r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)</w:t>
            </w:r>
            <w:r w:rsidR="009030A2"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最終意見於2026年3月2日通過、</w:t>
            </w:r>
            <w:r w:rsidRPr="00EB5D8C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社會經濟分析委員會</w:t>
            </w:r>
            <w:r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(</w:t>
            </w:r>
            <w:r w:rsidR="009030A2"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SEAC</w:t>
            </w:r>
            <w:r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)</w:t>
            </w:r>
            <w:r w:rsidR="009030A2"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最終意見預計2026年底提交執委會</w:t>
            </w:r>
          </w:p>
        </w:tc>
        <w:tc>
          <w:tcPr>
            <w:tcW w:w="2126" w:type="dxa"/>
            <w:hideMark/>
          </w:tcPr>
          <w:p w14:paraId="62ECEBA9" w14:textId="03E38C89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擬以群組方式限制約14,000種PFAS，涵蓋幾乎所有工業領域；部分用途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(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含氟聚合物等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)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 xml:space="preserve">研議時限性豁免，並伴隨排放管理與供應鏈通報措施 </w:t>
            </w:r>
          </w:p>
        </w:tc>
        <w:tc>
          <w:tcPr>
            <w:tcW w:w="2153" w:type="dxa"/>
            <w:hideMark/>
          </w:tcPr>
          <w:p w14:paraId="3619A63C" w14:textId="023A4785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若最終通過，將擴大受規範材料範圍，含氟樹脂等特用材料可能受影響；限制生效後將設18個月過渡期。現階段尚未生效，惟業者宜及早盤點PFAS使用情形與供應鏈來源</w:t>
            </w:r>
          </w:p>
        </w:tc>
      </w:tr>
      <w:tr w:rsidR="009030A2" w:rsidRPr="009030A2" w14:paraId="24D55998" w14:textId="77777777" w:rsidTr="73DC89FC">
        <w:trPr>
          <w:trHeight w:val="2329"/>
        </w:trPr>
        <w:tc>
          <w:tcPr>
            <w:tcW w:w="2122" w:type="dxa"/>
            <w:hideMark/>
          </w:tcPr>
          <w:p w14:paraId="72A17C0A" w14:textId="2A7AC5A2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b/>
                <w:bCs/>
                <w:kern w:val="0"/>
                <w:sz w:val="20"/>
                <w:szCs w:val="24"/>
              </w:rPr>
              <w:t>REACH化學品整體管理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br/>
              <w:t>高度關注物質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(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SVHC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)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、授權與限制清單</w:t>
            </w:r>
          </w:p>
        </w:tc>
        <w:tc>
          <w:tcPr>
            <w:tcW w:w="2126" w:type="dxa"/>
            <w:hideMark/>
          </w:tcPr>
          <w:p w14:paraId="38208F22" w14:textId="011C3DEF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持續性機制，候選清單定期更新；個別物質依授權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(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附件XIV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)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與限制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(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附件XVII</w:t>
            </w:r>
            <w:r w:rsidR="00C329DC" w:rsidRPr="00993815">
              <w:rPr>
                <w:rFonts w:ascii="Microsoft JhengHei" w:eastAsia="Microsoft JhengHei" w:hAnsi="Microsoft JhengHei" w:cs="PMingLiU" w:hint="eastAsia"/>
                <w:kern w:val="0"/>
                <w:sz w:val="20"/>
                <w:szCs w:val="24"/>
              </w:rPr>
              <w:t>)</w:t>
            </w: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時程適用</w:t>
            </w:r>
          </w:p>
        </w:tc>
        <w:tc>
          <w:tcPr>
            <w:tcW w:w="2126" w:type="dxa"/>
            <w:hideMark/>
          </w:tcPr>
          <w:p w14:paraId="541FDCCC" w14:textId="3380B1CC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要求登錄、通報與供應鏈資訊傳遞；SVHC逾門檻須通報並向下游揭露，部分物質納入授權或限制</w:t>
            </w:r>
          </w:p>
        </w:tc>
        <w:tc>
          <w:tcPr>
            <w:tcW w:w="2153" w:type="dxa"/>
            <w:hideMark/>
          </w:tcPr>
          <w:p w14:paraId="656668F5" w14:textId="77777777" w:rsidR="009030A2" w:rsidRPr="00993815" w:rsidRDefault="009030A2" w:rsidP="009030A2">
            <w:pPr>
              <w:widowControl/>
              <w:spacing w:line="0" w:lineRule="atLeast"/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</w:pPr>
            <w:r w:rsidRPr="00993815">
              <w:rPr>
                <w:rFonts w:ascii="Microsoft JhengHei" w:eastAsia="Microsoft JhengHei" w:hAnsi="Microsoft JhengHei" w:cs="PMingLiU"/>
                <w:kern w:val="0"/>
                <w:sz w:val="20"/>
                <w:szCs w:val="24"/>
              </w:rPr>
              <w:t>將提高添加劑與助劑之成分揭露與替代壓力，可能增加配方調整與驗證成本；再生料來源驗證與供應鏈追溯要求趨於嚴格</w:t>
            </w:r>
          </w:p>
        </w:tc>
      </w:tr>
    </w:tbl>
    <w:p w14:paraId="7DD4CF06" w14:textId="1F94CC9F" w:rsidR="009030A2" w:rsidRPr="009030A2" w:rsidRDefault="00C329DC" w:rsidP="00122E4B">
      <w:pPr>
        <w:snapToGrid w:val="0"/>
        <w:spacing w:beforeLines="50" w:before="180" w:afterLines="50" w:after="1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C30C5F">
        <w:rPr>
          <w:rFonts w:ascii="Microsoft JhengHei" w:eastAsia="Microsoft JhengHei" w:hAnsi="Microsoft JhengHei" w:cs="Arial" w:hint="eastAsia"/>
          <w:color w:val="000000" w:themeColor="text1"/>
          <w:sz w:val="20"/>
        </w:rPr>
        <w:t>資料來源：塑膠中心整理。</w:t>
      </w:r>
    </w:p>
    <w:p w14:paraId="36344120" w14:textId="33154140" w:rsidR="00B570DA" w:rsidRPr="00404671" w:rsidRDefault="00EB4B7B" w:rsidP="0001520B">
      <w:pPr>
        <w:jc w:val="both"/>
        <w:rPr>
          <w:rFonts w:ascii="Microsoft JhengHei" w:eastAsia="Microsoft JhengHei" w:hAnsi="Microsoft JhengHei" w:cs="Arial"/>
          <w:color w:val="000000" w:themeColor="text1"/>
          <w:sz w:val="20"/>
        </w:rPr>
      </w:pPr>
      <w:r>
        <w:rPr>
          <w:rFonts w:ascii="Microsoft JhengHei" w:eastAsia="Microsoft JhengHei" w:hAnsi="Microsoft JhengHei" w:cs="Arial"/>
          <w:color w:val="000000" w:themeColor="text1"/>
          <w:sz w:val="20"/>
        </w:rPr>
        <w:br w:type="page"/>
      </w:r>
    </w:p>
    <w:p w14:paraId="64FA2A0A" w14:textId="1D59587C" w:rsidR="00A820A0" w:rsidRPr="00A820A0" w:rsidRDefault="00DE17FA" w:rsidP="00A820A0">
      <w:pPr>
        <w:pStyle w:val="a4"/>
        <w:numPr>
          <w:ilvl w:val="0"/>
          <w:numId w:val="3"/>
        </w:numPr>
        <w:spacing w:beforeLines="50" w:before="180" w:afterLines="50" w:after="180"/>
        <w:ind w:leftChars="0" w:left="284" w:hanging="284"/>
        <w:jc w:val="both"/>
        <w:rPr>
          <w:rFonts w:ascii="Microsoft JhengHei" w:eastAsia="Microsoft JhengHei" w:hAnsi="Microsoft JhengHei" w:cs="Arial"/>
          <w:color w:val="000000" w:themeColor="text1"/>
        </w:rPr>
      </w:pPr>
      <w:bookmarkStart w:id="12" w:name="_Hlk225526496"/>
      <w:r w:rsidRPr="00C30C5F">
        <w:rPr>
          <w:rFonts w:ascii="Microsoft JhengHei" w:eastAsia="Microsoft JhengHei" w:hAnsi="Microsoft JhengHei" w:cs="Arial" w:hint="eastAsia"/>
          <w:b/>
          <w:color w:val="000000" w:themeColor="text1"/>
        </w:rPr>
        <w:t>出口品項趨勢動能分析</w:t>
      </w:r>
      <w:r w:rsidR="00E07A1E">
        <w:rPr>
          <w:rFonts w:ascii="Microsoft JhengHei" w:eastAsia="Microsoft JhengHei" w:hAnsi="Microsoft JhengHei" w:cs="Arial" w:hint="eastAsia"/>
          <w:b/>
          <w:color w:val="000000" w:themeColor="text1"/>
        </w:rPr>
        <w:t>-</w:t>
      </w:r>
      <w:r w:rsidR="003561B2" w:rsidRPr="003561B2">
        <w:rPr>
          <w:rFonts w:ascii="Microsoft JhengHei" w:eastAsia="Microsoft JhengHei" w:hAnsi="Microsoft JhengHei" w:cs="Arial" w:hint="eastAsia"/>
          <w:b/>
          <w:color w:val="000000" w:themeColor="text1"/>
        </w:rPr>
        <w:t>黏度值等於或高於78ml/g之PET</w:t>
      </w:r>
      <w:r w:rsidR="005259AD">
        <w:rPr>
          <w:rFonts w:ascii="Microsoft JhengHei" w:eastAsia="Microsoft JhengHei" w:hAnsi="Microsoft JhengHei" w:cs="Arial" w:hint="eastAsia"/>
          <w:b/>
          <w:color w:val="000000" w:themeColor="text1"/>
        </w:rPr>
        <w:t>(</w:t>
      </w:r>
      <w:r w:rsidR="003561B2" w:rsidRPr="003561B2">
        <w:rPr>
          <w:rFonts w:ascii="Microsoft JhengHei" w:eastAsia="Microsoft JhengHei" w:hAnsi="Microsoft JhengHei" w:cs="Arial" w:hint="eastAsia"/>
          <w:b/>
          <w:color w:val="000000" w:themeColor="text1"/>
        </w:rPr>
        <w:t>HS 390761</w:t>
      </w:r>
      <w:r w:rsidR="005259AD">
        <w:rPr>
          <w:rFonts w:ascii="Microsoft JhengHei" w:eastAsia="Microsoft JhengHei" w:hAnsi="Microsoft JhengHei" w:cs="Arial" w:hint="eastAsia"/>
          <w:b/>
          <w:color w:val="000000" w:themeColor="text1"/>
        </w:rPr>
        <w:t>)</w:t>
      </w:r>
      <w:r w:rsidR="00027C5F">
        <w:rPr>
          <w:rFonts w:ascii="Microsoft JhengHei" w:eastAsia="Microsoft JhengHei" w:hAnsi="Microsoft JhengHei" w:cs="Arial"/>
          <w:color w:val="000000" w:themeColor="text1"/>
        </w:rPr>
        <w:t xml:space="preserve"> </w:t>
      </w:r>
      <w:bookmarkEnd w:id="12"/>
    </w:p>
    <w:p w14:paraId="50EEAB5E" w14:textId="3954BA7C" w:rsidR="008651AA" w:rsidRPr="008651AA" w:rsidRDefault="008651AA" w:rsidP="008651AA">
      <w:pPr>
        <w:widowControl/>
        <w:spacing w:line="0" w:lineRule="atLeast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115年5月台灣塑膠及其製品前十大出口品項中，黏度值等於或高於78ml/g之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PET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proofErr w:type="gramEnd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 xml:space="preserve">HS 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390761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出口金額為</w:t>
      </w:r>
      <w:proofErr w:type="gramEnd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0.96億美元，占整體塑膠及其製品出口6.38%，年增59.09%，為前十大出口品項中出口金額最高且成長率最突出的項目。相較ABS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共聚合物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proofErr w:type="gramEnd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 xml:space="preserve">HS 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390330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、PVC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proofErr w:type="gramEnd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 xml:space="preserve">HS 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390410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及聚碳酸樹脂</w:t>
      </w:r>
      <w:proofErr w:type="gramEnd"/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 xml:space="preserve">HS 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390740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等傳統樹脂仍呈年減</w:t>
      </w:r>
      <w:proofErr w:type="gramEnd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，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PET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proofErr w:type="gramEnd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 xml:space="preserve">HS </w:t>
      </w:r>
      <w:proofErr w:type="gramStart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390761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逆勢成長</w:t>
      </w:r>
      <w:proofErr w:type="gramEnd"/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，顯示其受包裝、瓶用樹脂、薄膜及工業材料需求支撐，成為115年5月塑膠出口主要動能來源。</w:t>
      </w:r>
    </w:p>
    <w:p w14:paraId="467AE434" w14:textId="5478AA35" w:rsidR="008651AA" w:rsidRPr="008651AA" w:rsidRDefault="008651AA" w:rsidP="008651AA">
      <w:pPr>
        <w:widowControl/>
        <w:spacing w:line="0" w:lineRule="atLeast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從出口市場結構觀察，PET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HS 390761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出口高度集中於日本與美國。115年5月日本出口金額約0.51億美元，占該品項出口比重52.70%，年增83.68%，為最大出口市場；美國出口金額約0.21億美元，占比21.70%，年增15.32%，位居第二。日本與美國合計占比達74.40%，顯示本月PET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HS 390761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出口成長主要由成熟市場拉動，其中日本需求回升最為明顯，可能與飲料、食品包裝、日用品包材及夏季消費旺季前備貨需求有關。</w:t>
      </w:r>
    </w:p>
    <w:p w14:paraId="3177D116" w14:textId="468C7D0E" w:rsidR="008651AA" w:rsidRPr="008651AA" w:rsidRDefault="008651AA" w:rsidP="008651AA">
      <w:pPr>
        <w:widowControl/>
        <w:spacing w:line="0" w:lineRule="atLeast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除日本與美國外，部分中小型市場亦呈現成長，帶動PET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HS 390761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出口動能擴散。印度出口金額約0.04億美元，占比3.92%，年增幅度明顯；斐濟出口金額約0.03億美元，占比3.22%；比利時占比2.47%，波蘭占比1.44%，顯示歐洲與大洋洲市場亦有小幅拉貨需求。雖然上述市場規模仍有限，但若搭配區域包裝需求、飲料瓶用材料需求及歐洲循環包裝政策發展，後續仍具觀察價值。</w:t>
      </w:r>
    </w:p>
    <w:p w14:paraId="0ED75EDA" w14:textId="058C1702" w:rsidR="008651AA" w:rsidRPr="008651AA" w:rsidRDefault="008651AA" w:rsidP="008651AA">
      <w:pPr>
        <w:widowControl/>
        <w:spacing w:line="0" w:lineRule="atLeast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就動能來源而言，PET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HS 390761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主要受惠於食品飲料包裝、瓶用樹脂、透明容器、薄膜與工業包材需求。由於PET具透明性、機械強度、加工性及回收體系相對成熟等特性，在飲料瓶、食品容器及包裝薄膜應用中仍具穩定需求。此外，部分國家推動包裝可回收設計與再生料使用，亦可能促使下游客戶重新調整材料採購與供應鏈配置，帶動具穩定品質與量產能力之PET材料出口。</w:t>
      </w:r>
    </w:p>
    <w:p w14:paraId="069C43FB" w14:textId="33689233" w:rsidR="008651AA" w:rsidRDefault="008651AA" w:rsidP="008651AA">
      <w:pPr>
        <w:widowControl/>
        <w:spacing w:line="0" w:lineRule="atLeast"/>
        <w:ind w:firstLineChars="200" w:firstLine="480"/>
        <w:jc w:val="both"/>
        <w:rPr>
          <w:rFonts w:ascii="Microsoft JhengHei" w:eastAsia="Microsoft JhengHei" w:hAnsi="Microsoft JhengHei" w:cs="Arial"/>
          <w:color w:val="000000" w:themeColor="text1"/>
        </w:rPr>
      </w:pP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惟PET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HS 390761</w:t>
      </w:r>
      <w:r w:rsidR="005259AD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出口仍須留意市場集中與價格競爭風險。日本與美國合計占比超過七成，若主要市場終端消費放緩、庫存調整或採購節奏改變，將直接影響後續出口表現。同時，PET屬國際競爭較激烈之大宗材料，仍受原油、石油腦、</w:t>
      </w:r>
      <w:r w:rsidR="003C5461" w:rsidRPr="003C5461">
        <w:rPr>
          <w:rFonts w:ascii="Microsoft JhengHei" w:eastAsia="Microsoft JhengHei" w:hAnsi="Microsoft JhengHei" w:cs="Arial" w:hint="eastAsia"/>
          <w:color w:val="000000" w:themeColor="text1"/>
        </w:rPr>
        <w:t>純對苯二甲酸</w:t>
      </w:r>
      <w:r w:rsidR="003C5461">
        <w:rPr>
          <w:rFonts w:ascii="Microsoft JhengHei" w:eastAsia="Microsoft JhengHei" w:hAnsi="Microsoft JhengHei" w:cs="Arial" w:hint="eastAsia"/>
          <w:color w:val="000000" w:themeColor="text1"/>
        </w:rPr>
        <w:t>(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PTA</w:t>
      </w:r>
      <w:r w:rsidR="003C5461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、</w:t>
      </w:r>
      <w:r w:rsidR="003C5461" w:rsidRPr="003C5461">
        <w:rPr>
          <w:rFonts w:ascii="Microsoft JhengHei" w:eastAsia="Microsoft JhengHei" w:hAnsi="Microsoft JhengHei"/>
        </w:rPr>
        <w:t>乙二醇</w:t>
      </w:r>
      <w:r w:rsidR="003C5461" w:rsidRPr="003C5461">
        <w:rPr>
          <w:rFonts w:ascii="Microsoft JhengHei" w:eastAsia="Microsoft JhengHei" w:hAnsi="Microsoft JhengHei" w:hint="eastAsia"/>
        </w:rPr>
        <w:t>(</w:t>
      </w:r>
      <w:r w:rsidRPr="003C5461">
        <w:rPr>
          <w:rFonts w:ascii="Microsoft JhengHei" w:eastAsia="Microsoft JhengHei" w:hAnsi="Microsoft JhengHei" w:cs="Arial" w:hint="eastAsia"/>
          <w:color w:val="000000" w:themeColor="text1"/>
        </w:rPr>
        <w:t>MEG</w:t>
      </w:r>
      <w:r w:rsidR="003C5461" w:rsidRPr="003C5461">
        <w:rPr>
          <w:rFonts w:ascii="Microsoft JhengHei" w:eastAsia="Microsoft JhengHei" w:hAnsi="Microsoft JhengHei" w:cs="Arial" w:hint="eastAsia"/>
          <w:color w:val="000000" w:themeColor="text1"/>
        </w:rPr>
        <w:t>)</w:t>
      </w:r>
      <w:r w:rsidRPr="008651AA">
        <w:rPr>
          <w:rFonts w:ascii="Microsoft JhengHei" w:eastAsia="Microsoft JhengHei" w:hAnsi="Microsoft JhengHei" w:cs="Arial" w:hint="eastAsia"/>
          <w:color w:val="000000" w:themeColor="text1"/>
        </w:rPr>
        <w:t>等上游原料價格波動影響；若原料成本上升但下游議價能力有限，將壓縮出口利潤。此外，各國包裝減量、再生料含量、食品接觸材料安全與回收標示規範趨嚴，也將提高台灣業者在品質驗證、環境合規與供應鏈管理上的要求。</w:t>
      </w:r>
    </w:p>
    <w:p w14:paraId="0B7764F9" w14:textId="4440D79C" w:rsidR="00A820A0" w:rsidRDefault="00FC7F7B" w:rsidP="008651AA">
      <w:pPr>
        <w:widowControl/>
        <w:spacing w:line="0" w:lineRule="atLeast"/>
        <w:jc w:val="both"/>
        <w:rPr>
          <w:rFonts w:ascii="Microsoft JhengHei" w:eastAsia="Microsoft JhengHei" w:hAnsi="Microsoft JhengHei" w:cs="Arial"/>
          <w:b/>
          <w:color w:val="000000" w:themeColor="text1"/>
        </w:rPr>
      </w:pPr>
      <w:r>
        <w:rPr>
          <w:noProof/>
        </w:rPr>
        <w:drawing>
          <wp:inline distT="0" distB="0" distL="0" distR="0" wp14:anchorId="27A22303" wp14:editId="6F7A91DD">
            <wp:extent cx="5274310" cy="2752725"/>
            <wp:effectExtent l="0" t="0" r="2540" b="9525"/>
            <wp:docPr id="10" name="圖表 10">
              <a:extLst xmlns:a="http://schemas.openxmlformats.org/drawingml/2006/main">
                <a:ext uri="{FF2B5EF4-FFF2-40B4-BE49-F238E27FC236}">
                  <a16:creationId xmlns:a16="http://schemas.microsoft.com/office/drawing/2014/main" id="{0F10BA59-7F88-4571-81D2-A36538758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2E935BC" w14:textId="77777777" w:rsidR="003F0834" w:rsidRPr="00C30C5F" w:rsidRDefault="003F0834" w:rsidP="00A204F4">
      <w:pPr>
        <w:jc w:val="both"/>
        <w:rPr>
          <w:rFonts w:ascii="Microsoft JhengHei" w:eastAsia="Microsoft JhengHei" w:hAnsi="Microsoft JhengHei" w:cs="Arial"/>
          <w:color w:val="000000" w:themeColor="text1"/>
          <w:sz w:val="20"/>
        </w:rPr>
      </w:pPr>
      <w:r w:rsidRPr="00C30C5F">
        <w:rPr>
          <w:rFonts w:ascii="Microsoft JhengHei" w:eastAsia="Microsoft JhengHei" w:hAnsi="Microsoft JhengHei" w:cs="Arial" w:hint="eastAsia"/>
          <w:color w:val="000000" w:themeColor="text1"/>
          <w:sz w:val="20"/>
        </w:rPr>
        <w:t>資料來源：海關進出口統計資料庫；塑膠中心整理。</w:t>
      </w:r>
    </w:p>
    <w:p w14:paraId="2444B172" w14:textId="4138837B" w:rsidR="003F0834" w:rsidRPr="008452AA" w:rsidRDefault="003F0834" w:rsidP="008452AA">
      <w:pPr>
        <w:snapToGrid w:val="0"/>
        <w:jc w:val="center"/>
        <w:rPr>
          <w:rFonts w:ascii="Microsoft JhengHei" w:eastAsia="Microsoft JhengHei" w:hAnsi="Microsoft JhengHei" w:cs="Arial"/>
          <w:color w:val="000000" w:themeColor="text1"/>
        </w:rPr>
      </w:pP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 xml:space="preserve">圖 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begin"/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instrText>SEQ 圖 \* ARABIC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instrText xml:space="preserve"> </w:instrTex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separate"/>
      </w:r>
      <w:r>
        <w:rPr>
          <w:rFonts w:ascii="Microsoft JhengHei" w:eastAsia="Microsoft JhengHei" w:hAnsi="Microsoft JhengHei"/>
          <w:noProof/>
          <w:color w:val="000000" w:themeColor="text1"/>
          <w:szCs w:val="24"/>
        </w:rPr>
        <w:t>4</w:t>
      </w:r>
      <w:r w:rsidRPr="00C30C5F">
        <w:rPr>
          <w:rFonts w:ascii="Microsoft JhengHei" w:eastAsia="Microsoft JhengHei" w:hAnsi="Microsoft JhengHei"/>
          <w:color w:val="000000" w:themeColor="text1"/>
          <w:szCs w:val="24"/>
        </w:rPr>
        <w:fldChar w:fldCharType="end"/>
      </w:r>
      <w:r w:rsidRPr="00C30C5F">
        <w:rPr>
          <w:rFonts w:ascii="Microsoft JhengHei" w:eastAsia="Microsoft JhengHei" w:hAnsi="Microsoft JhengHei" w:hint="eastAsia"/>
          <w:color w:val="000000" w:themeColor="text1"/>
          <w:szCs w:val="24"/>
        </w:rPr>
        <w:t>、</w:t>
      </w:r>
      <w:r w:rsidR="008E71C7" w:rsidRPr="008E71C7">
        <w:rPr>
          <w:rFonts w:ascii="Microsoft JhengHei" w:eastAsia="Microsoft JhengHei" w:hAnsi="Microsoft JhengHei" w:cs="Arial" w:hint="eastAsia"/>
          <w:color w:val="000000" w:themeColor="text1"/>
        </w:rPr>
        <w:t>黏度值等於或高於78ml/g (PET)</w:t>
      </w:r>
      <w:r w:rsidRPr="003F0834">
        <w:rPr>
          <w:rFonts w:ascii="Microsoft JhengHei" w:eastAsia="Microsoft JhengHei" w:hAnsi="Microsoft JhengHei" w:cs="Arial"/>
          <w:color w:val="000000" w:themeColor="text1"/>
        </w:rPr>
        <w:t xml:space="preserve"> (HS </w:t>
      </w:r>
      <w:r w:rsidR="008E71C7" w:rsidRPr="008E71C7">
        <w:rPr>
          <w:rFonts w:ascii="Microsoft JhengHei" w:eastAsia="Microsoft JhengHei" w:hAnsi="Microsoft JhengHei" w:cs="Arial"/>
          <w:color w:val="000000" w:themeColor="text1"/>
        </w:rPr>
        <w:t>390761</w:t>
      </w:r>
      <w:r w:rsidRPr="003F0834">
        <w:rPr>
          <w:rFonts w:ascii="Microsoft JhengHei" w:eastAsia="Microsoft JhengHei" w:hAnsi="Microsoft JhengHei" w:cs="Arial"/>
          <w:color w:val="000000" w:themeColor="text1"/>
        </w:rPr>
        <w:t>)</w:t>
      </w:r>
      <w:r>
        <w:rPr>
          <w:rFonts w:ascii="Microsoft JhengHei" w:eastAsia="Microsoft JhengHei" w:hAnsi="Microsoft JhengHei" w:cs="Arial" w:hint="eastAsia"/>
          <w:color w:val="000000" w:themeColor="text1"/>
        </w:rPr>
        <w:t>近五年出口趨勢</w:t>
      </w:r>
    </w:p>
    <w:p w14:paraId="632032ED" w14:textId="3327B84E" w:rsidR="002D6746" w:rsidRPr="002D6746" w:rsidRDefault="002D6746" w:rsidP="002D6746">
      <w:pPr>
        <w:widowControl/>
        <w:rPr>
          <w:rFonts w:ascii="Microsoft JhengHei" w:eastAsia="Microsoft JhengHei" w:hAnsi="Microsoft JhengHei" w:cs="Arial"/>
          <w:b/>
          <w:color w:val="000000" w:themeColor="text1"/>
        </w:rPr>
      </w:pPr>
      <w:r>
        <w:rPr>
          <w:rFonts w:ascii="Microsoft JhengHei" w:eastAsia="Microsoft JhengHei" w:hAnsi="Microsoft JhengHei" w:cs="Arial"/>
          <w:b/>
          <w:color w:val="000000" w:themeColor="text1"/>
        </w:rPr>
        <w:br w:type="page"/>
      </w:r>
    </w:p>
    <w:p w14:paraId="11C7498E" w14:textId="1EFFC6F9" w:rsidR="009750E8" w:rsidRPr="00C30C5F" w:rsidRDefault="00DA0249" w:rsidP="006A4B8C">
      <w:pPr>
        <w:pStyle w:val="a4"/>
        <w:numPr>
          <w:ilvl w:val="0"/>
          <w:numId w:val="3"/>
        </w:numPr>
        <w:snapToGrid w:val="0"/>
        <w:spacing w:beforeLines="50" w:before="180" w:afterLines="50" w:after="180"/>
        <w:ind w:leftChars="0"/>
        <w:jc w:val="both"/>
        <w:rPr>
          <w:rFonts w:ascii="Microsoft JhengHei" w:eastAsia="Microsoft JhengHei" w:hAnsi="Microsoft JhengHei" w:cs="Arial"/>
          <w:b/>
          <w:color w:val="000000" w:themeColor="text1"/>
        </w:rPr>
      </w:pPr>
      <w:r w:rsidRPr="00C30C5F">
        <w:rPr>
          <w:rFonts w:ascii="Microsoft JhengHei" w:eastAsia="Microsoft JhengHei" w:hAnsi="Microsoft JhengHei" w:cs="Arial" w:hint="eastAsia"/>
          <w:b/>
          <w:color w:val="000000" w:themeColor="text1"/>
        </w:rPr>
        <w:t>拓銷策略建議</w:t>
      </w:r>
    </w:p>
    <w:p w14:paraId="6B0C27A0" w14:textId="54022F7C" w:rsidR="00745BCB" w:rsidRDefault="00745BCB" w:rsidP="004D464D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</w:rPr>
      </w:pPr>
      <w:r w:rsidRPr="00745BCB">
        <w:rPr>
          <w:rFonts w:ascii="Microsoft JhengHei" w:eastAsia="Microsoft JhengHei" w:hAnsi="Microsoft JhengHei" w:cs="Arial"/>
        </w:rPr>
        <w:t>綜合115年5月出口表現，本期塑膠出口雖年增4.86%，惟成長相當部分來自原油走高帶動之價格因素，剔除物價後之實質數量增幅相對有限；同時，傳統大宗樹脂如聚氯乙烯(HS 390410)、ABS(HS 390330)、聚碳酸樹脂(HS 390740)普遍承壓，而聚酯、環氧樹脂、塑膠薄膜及膠帶等材料逆勢成長。後續拓銷宜兼顧短期接單與中長期附加價值之提升</w:t>
      </w:r>
      <w:r w:rsidR="00046C3C" w:rsidRPr="00046C3C">
        <w:rPr>
          <w:rFonts w:ascii="Microsoft JhengHei" w:eastAsia="Microsoft JhengHei" w:hAnsi="Microsoft JhengHei" w:cs="Arial"/>
        </w:rPr>
        <w:t>，茲就市場與產品布局、永續合規兩方面提出建議。</w:t>
      </w:r>
    </w:p>
    <w:p w14:paraId="18AA3BEF" w14:textId="3885858D" w:rsidR="00580606" w:rsidRPr="00580606" w:rsidRDefault="00580606" w:rsidP="00580606">
      <w:pPr>
        <w:snapToGrid w:val="0"/>
        <w:spacing w:beforeLines="50" w:before="180" w:afterLines="50" w:after="180"/>
        <w:jc w:val="both"/>
        <w:rPr>
          <w:rFonts w:ascii="Microsoft JhengHei" w:eastAsia="Microsoft JhengHei" w:hAnsi="Microsoft JhengHei" w:cs="Arial"/>
          <w:b/>
        </w:rPr>
      </w:pPr>
      <w:r w:rsidRPr="00580606">
        <w:rPr>
          <w:rFonts w:ascii="Microsoft JhengHei" w:eastAsia="Microsoft JhengHei" w:hAnsi="Microsoft JhengHei" w:cs="Arial" w:hint="eastAsia"/>
          <w:b/>
        </w:rPr>
        <w:t xml:space="preserve">1. </w:t>
      </w:r>
      <w:r w:rsidR="00920786" w:rsidRPr="00920786">
        <w:rPr>
          <w:rFonts w:ascii="Microsoft JhengHei" w:eastAsia="Microsoft JhengHei" w:hAnsi="Microsoft JhengHei" w:cs="Arial"/>
          <w:b/>
        </w:rPr>
        <w:t>分散出口市場並深化高階特用塑膠發展</w:t>
      </w:r>
    </w:p>
    <w:p w14:paraId="6169F297" w14:textId="77777777" w:rsidR="00920786" w:rsidRPr="00111F92" w:rsidRDefault="00920786" w:rsidP="00920786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</w:rPr>
      </w:pPr>
      <w:r w:rsidRPr="00920786">
        <w:rPr>
          <w:rFonts w:ascii="Microsoft JhengHei" w:eastAsia="Microsoft JhengHei" w:hAnsi="Microsoft JhengHei" w:cs="Arial"/>
        </w:rPr>
        <w:t>本月部分高成長品項集中度偏高，如黏度值等於或高於78ml/g之PET(HS 390761)出口逾七成集中於日本與美國，其中日本成長主要與日幣貶值、製造業補庫及夏季旺季備貨有關，屬短期需求回升，後續若主要市場進入庫存調整或採購節奏改變，將直接影響出口。建議在維繫日、美既有客戶之同時，開拓印度等新興市場，並留意越南等市場之庫存循環，以分散需求波動風險。產品面，本期大宗樹脂受國際價格競爭影響出口偏弱，環氧樹脂、PET及特用聚酯則因電子、塗料、接著劑及包裝需求而成長；建議延續此一方向，深化高階特用塑膠在電子、塗料、接著劑及工業材料等既有領域之發展，提升產品附加價值，逐步降低對泛</w:t>
      </w:r>
      <w:r w:rsidRPr="00111F92">
        <w:rPr>
          <w:rFonts w:ascii="Microsoft JhengHei" w:eastAsia="Microsoft JhengHei" w:hAnsi="Microsoft JhengHei" w:cs="Arial"/>
        </w:rPr>
        <w:t>用塑膠價格波動之依賴。</w:t>
      </w:r>
    </w:p>
    <w:p w14:paraId="3E990D61" w14:textId="0088A1D6" w:rsidR="00580606" w:rsidRPr="00111F92" w:rsidRDefault="00580606" w:rsidP="00580606">
      <w:pPr>
        <w:snapToGrid w:val="0"/>
        <w:spacing w:beforeLines="50" w:before="180" w:afterLines="50" w:after="180"/>
        <w:jc w:val="both"/>
        <w:rPr>
          <w:rFonts w:ascii="Microsoft JhengHei" w:eastAsia="Microsoft JhengHei" w:hAnsi="Microsoft JhengHei" w:cs="Arial"/>
          <w:b/>
        </w:rPr>
      </w:pPr>
      <w:r w:rsidRPr="00111F92">
        <w:rPr>
          <w:rFonts w:ascii="Microsoft JhengHei" w:eastAsia="Microsoft JhengHei" w:hAnsi="Microsoft JhengHei" w:cs="Arial"/>
          <w:b/>
          <w:bCs/>
        </w:rPr>
        <w:t xml:space="preserve">2. </w:t>
      </w:r>
      <w:r w:rsidR="00920786" w:rsidRPr="00111F92">
        <w:rPr>
          <w:rFonts w:ascii="Microsoft JhengHei" w:eastAsia="Microsoft JhengHei" w:hAnsi="Microsoft JhengHei" w:cs="Arial"/>
          <w:b/>
          <w:bCs/>
        </w:rPr>
        <w:t>將歐盟永續合規轉化為市場進入能力</w:t>
      </w:r>
    </w:p>
    <w:p w14:paraId="0312B9D5" w14:textId="51E36895" w:rsidR="00046C3C" w:rsidRPr="00111F92" w:rsidRDefault="00E50108" w:rsidP="00E50108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</w:rPr>
      </w:pPr>
      <w:r w:rsidRPr="00111F92">
        <w:rPr>
          <w:rFonts w:ascii="Microsoft JhengHei" w:eastAsia="Microsoft JhengHei" w:hAnsi="Microsoft JhengHei" w:cs="Arial"/>
        </w:rPr>
        <w:t>歐盟永續法規分階段墊高市場進入門檻，包裝領域方面，PPWR自2026年8月起適用，要求包裝可回收並含一定比例再生料，食品接觸包裝並受PFAS限制；本月對歐盟出口之聚氯乙烯純料及其製品(HS 390410、HS 391810)、自粘性塑膠片帶(HS 391990)等若涉及包裝應用，後續或面臨更高之再生料與材質申報要求。資訊揭露方面，ESPR與數位產品護照(DPP)雖以最終產品為對象，惟下游成品納管後將透過供應鏈要求上游提供碳足跡、再生料含量等資料，環氧樹脂(HS 390730)、ABS(HS 390330)、PET(HS 390761)等材料供應商須及早建立可追溯資料。建議業者及早布建再生料、可回收設計與環境資料之整備量能，強化文件管理與第三方驗證，將合規視為市場進入之門檻能力；另建議政府及公協會針對驗證量能不足之中小企業，提供合規輔導與共通驗證資源</w:t>
      </w:r>
      <w:r w:rsidR="00046C3C" w:rsidRPr="00111F92">
        <w:rPr>
          <w:rFonts w:ascii="Microsoft JhengHei" w:eastAsia="Microsoft JhengHei" w:hAnsi="Microsoft JhengHei" w:cs="Arial"/>
        </w:rPr>
        <w:t>。</w:t>
      </w:r>
    </w:p>
    <w:p w14:paraId="1575576D" w14:textId="52592587" w:rsidR="007D7B36" w:rsidRPr="00580606" w:rsidRDefault="007D7B36" w:rsidP="00046C3C">
      <w:pPr>
        <w:snapToGrid w:val="0"/>
        <w:spacing w:beforeLines="50" w:before="180" w:afterLines="50" w:after="180"/>
        <w:ind w:firstLineChars="200" w:firstLine="480"/>
        <w:jc w:val="both"/>
        <w:rPr>
          <w:rFonts w:ascii="Microsoft JhengHei" w:eastAsia="Microsoft JhengHei" w:hAnsi="Microsoft JhengHei" w:cs="Arial"/>
        </w:rPr>
      </w:pPr>
    </w:p>
    <w:sectPr w:rsidR="007D7B36" w:rsidRPr="00580606" w:rsidSect="00F62FB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212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8AFE" w14:textId="77777777" w:rsidR="006C39CF" w:rsidRDefault="006C39CF" w:rsidP="00FE0A81">
      <w:r>
        <w:separator/>
      </w:r>
    </w:p>
  </w:endnote>
  <w:endnote w:type="continuationSeparator" w:id="0">
    <w:p w14:paraId="052A5179" w14:textId="77777777" w:rsidR="006C39CF" w:rsidRDefault="006C39CF" w:rsidP="00FE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9166" w14:textId="77777777" w:rsidR="005C1B6F" w:rsidRDefault="005C1B6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005866"/>
      <w:docPartObj>
        <w:docPartGallery w:val="Page Numbers (Bottom of Page)"/>
        <w:docPartUnique/>
      </w:docPartObj>
    </w:sdtPr>
    <w:sdtEndPr/>
    <w:sdtContent>
      <w:p w14:paraId="7A83D14E" w14:textId="05EB97A2" w:rsidR="009030A2" w:rsidRDefault="009030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711E">
          <w:rPr>
            <w:noProof/>
            <w:lang w:val="zh-TW"/>
          </w:rPr>
          <w:t>1</w:t>
        </w:r>
        <w:r>
          <w:fldChar w:fldCharType="end"/>
        </w:r>
      </w:p>
    </w:sdtContent>
  </w:sdt>
  <w:p w14:paraId="750FD4A3" w14:textId="77777777" w:rsidR="009030A2" w:rsidRDefault="009030A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568E" w14:textId="77777777" w:rsidR="005C1B6F" w:rsidRDefault="005C1B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334F" w14:textId="77777777" w:rsidR="006C39CF" w:rsidRDefault="006C39CF" w:rsidP="00FE0A81">
      <w:r>
        <w:separator/>
      </w:r>
    </w:p>
  </w:footnote>
  <w:footnote w:type="continuationSeparator" w:id="0">
    <w:p w14:paraId="3EBA02C5" w14:textId="77777777" w:rsidR="006C39CF" w:rsidRDefault="006C39CF" w:rsidP="00FE0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7E95" w14:textId="77777777" w:rsidR="005C1B6F" w:rsidRDefault="005C1B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C423" w14:textId="1E3B1A57" w:rsidR="009030A2" w:rsidRDefault="009030A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8059" w14:textId="77777777" w:rsidR="005C1B6F" w:rsidRDefault="005C1B6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CE134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323D26"/>
    <w:multiLevelType w:val="hybridMultilevel"/>
    <w:tmpl w:val="3A042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60F5E"/>
    <w:multiLevelType w:val="hybridMultilevel"/>
    <w:tmpl w:val="6BCE5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5F31F9"/>
    <w:multiLevelType w:val="hybridMultilevel"/>
    <w:tmpl w:val="A5343312"/>
    <w:lvl w:ilvl="0" w:tplc="9788D284">
      <w:start w:val="1"/>
      <w:numFmt w:val="bullet"/>
      <w:lvlText w:val="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0F933623"/>
    <w:multiLevelType w:val="hybridMultilevel"/>
    <w:tmpl w:val="2D34A2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6446ABA"/>
    <w:multiLevelType w:val="hybridMultilevel"/>
    <w:tmpl w:val="12D49270"/>
    <w:lvl w:ilvl="0" w:tplc="63B80D4A">
      <w:start w:val="1"/>
      <w:numFmt w:val="bullet"/>
      <w:lvlText w:val="•"/>
      <w:lvlJc w:val="left"/>
      <w:pPr>
        <w:ind w:left="480" w:hanging="48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79045B"/>
    <w:multiLevelType w:val="hybridMultilevel"/>
    <w:tmpl w:val="9F5ADC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2D74A7"/>
    <w:multiLevelType w:val="hybridMultilevel"/>
    <w:tmpl w:val="30A46838"/>
    <w:lvl w:ilvl="0" w:tplc="1F58F7C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3359FD"/>
    <w:multiLevelType w:val="hybridMultilevel"/>
    <w:tmpl w:val="EE34CFD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5433358"/>
    <w:multiLevelType w:val="hybridMultilevel"/>
    <w:tmpl w:val="0930EB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F71D23"/>
    <w:multiLevelType w:val="hybridMultilevel"/>
    <w:tmpl w:val="FA58848A"/>
    <w:lvl w:ilvl="0" w:tplc="9788D284">
      <w:start w:val="1"/>
      <w:numFmt w:val="bullet"/>
      <w:lvlText w:val="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 w15:restartNumberingAfterBreak="0">
    <w:nsid w:val="287C55B3"/>
    <w:multiLevelType w:val="hybridMultilevel"/>
    <w:tmpl w:val="FE8E5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270046"/>
    <w:multiLevelType w:val="hybridMultilevel"/>
    <w:tmpl w:val="2DBCFAE4"/>
    <w:lvl w:ilvl="0" w:tplc="F26A6A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5137F0"/>
    <w:multiLevelType w:val="hybridMultilevel"/>
    <w:tmpl w:val="94AAE556"/>
    <w:lvl w:ilvl="0" w:tplc="4D32E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14" w15:restartNumberingAfterBreak="0">
    <w:nsid w:val="2D6B2F1F"/>
    <w:multiLevelType w:val="hybridMultilevel"/>
    <w:tmpl w:val="086438F0"/>
    <w:lvl w:ilvl="0" w:tplc="9788D284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7A5625B"/>
    <w:multiLevelType w:val="hybridMultilevel"/>
    <w:tmpl w:val="006C679C"/>
    <w:lvl w:ilvl="0" w:tplc="9788D284">
      <w:start w:val="1"/>
      <w:numFmt w:val="bullet"/>
      <w:lvlText w:val="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 w15:restartNumberingAfterBreak="0">
    <w:nsid w:val="3BFD2348"/>
    <w:multiLevelType w:val="hybridMultilevel"/>
    <w:tmpl w:val="4ED2498C"/>
    <w:lvl w:ilvl="0" w:tplc="63B80D4A">
      <w:start w:val="1"/>
      <w:numFmt w:val="bullet"/>
      <w:lvlText w:val="•"/>
      <w:lvlJc w:val="left"/>
      <w:pPr>
        <w:ind w:left="480" w:hanging="48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D105080"/>
    <w:multiLevelType w:val="hybridMultilevel"/>
    <w:tmpl w:val="094E33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4A77B65"/>
    <w:multiLevelType w:val="hybridMultilevel"/>
    <w:tmpl w:val="2634E252"/>
    <w:lvl w:ilvl="0" w:tplc="63B80D4A">
      <w:start w:val="1"/>
      <w:numFmt w:val="bullet"/>
      <w:lvlText w:val="•"/>
      <w:lvlJc w:val="left"/>
      <w:pPr>
        <w:ind w:left="480" w:hanging="48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9F50011"/>
    <w:multiLevelType w:val="hybridMultilevel"/>
    <w:tmpl w:val="7960D4BC"/>
    <w:lvl w:ilvl="0" w:tplc="9788D284">
      <w:start w:val="1"/>
      <w:numFmt w:val="bullet"/>
      <w:lvlText w:val="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4BC2253F"/>
    <w:multiLevelType w:val="hybridMultilevel"/>
    <w:tmpl w:val="136099D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BEB3D32"/>
    <w:multiLevelType w:val="hybridMultilevel"/>
    <w:tmpl w:val="C70EEF60"/>
    <w:lvl w:ilvl="0" w:tplc="9788D284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48F4A7A"/>
    <w:multiLevelType w:val="hybridMultilevel"/>
    <w:tmpl w:val="E1A64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302010"/>
    <w:multiLevelType w:val="hybridMultilevel"/>
    <w:tmpl w:val="8AA6A52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A4D12B2"/>
    <w:multiLevelType w:val="hybridMultilevel"/>
    <w:tmpl w:val="04662542"/>
    <w:lvl w:ilvl="0" w:tplc="4D32E6F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AE4301F"/>
    <w:multiLevelType w:val="hybridMultilevel"/>
    <w:tmpl w:val="C72C866E"/>
    <w:lvl w:ilvl="0" w:tplc="63B80D4A">
      <w:start w:val="1"/>
      <w:numFmt w:val="bullet"/>
      <w:lvlText w:val="•"/>
      <w:lvlJc w:val="left"/>
      <w:pPr>
        <w:ind w:left="840" w:hanging="48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6" w15:restartNumberingAfterBreak="0">
    <w:nsid w:val="5E8721B9"/>
    <w:multiLevelType w:val="hybridMultilevel"/>
    <w:tmpl w:val="09160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234C37"/>
    <w:multiLevelType w:val="multilevel"/>
    <w:tmpl w:val="2410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2E7296"/>
    <w:multiLevelType w:val="hybridMultilevel"/>
    <w:tmpl w:val="48D8FE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9F502B4"/>
    <w:multiLevelType w:val="hybridMultilevel"/>
    <w:tmpl w:val="D76AB8DC"/>
    <w:lvl w:ilvl="0" w:tplc="A64E7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62244818">
    <w:abstractNumId w:val="18"/>
  </w:num>
  <w:num w:numId="2" w16cid:durableId="79763603">
    <w:abstractNumId w:val="7"/>
  </w:num>
  <w:num w:numId="3" w16cid:durableId="607397301">
    <w:abstractNumId w:val="5"/>
  </w:num>
  <w:num w:numId="4" w16cid:durableId="2043509122">
    <w:abstractNumId w:val="23"/>
  </w:num>
  <w:num w:numId="5" w16cid:durableId="482743555">
    <w:abstractNumId w:val="24"/>
  </w:num>
  <w:num w:numId="6" w16cid:durableId="2034113347">
    <w:abstractNumId w:val="3"/>
  </w:num>
  <w:num w:numId="7" w16cid:durableId="721758384">
    <w:abstractNumId w:val="13"/>
  </w:num>
  <w:num w:numId="8" w16cid:durableId="1624462770">
    <w:abstractNumId w:val="11"/>
  </w:num>
  <w:num w:numId="9" w16cid:durableId="1261915166">
    <w:abstractNumId w:val="15"/>
  </w:num>
  <w:num w:numId="10" w16cid:durableId="1945653046">
    <w:abstractNumId w:val="20"/>
  </w:num>
  <w:num w:numId="11" w16cid:durableId="223954787">
    <w:abstractNumId w:val="19"/>
  </w:num>
  <w:num w:numId="12" w16cid:durableId="1445271809">
    <w:abstractNumId w:val="9"/>
  </w:num>
  <w:num w:numId="13" w16cid:durableId="1011562693">
    <w:abstractNumId w:val="10"/>
  </w:num>
  <w:num w:numId="14" w16cid:durableId="1842700868">
    <w:abstractNumId w:val="14"/>
  </w:num>
  <w:num w:numId="15" w16cid:durableId="1700816796">
    <w:abstractNumId w:val="21"/>
  </w:num>
  <w:num w:numId="16" w16cid:durableId="78870093">
    <w:abstractNumId w:val="17"/>
  </w:num>
  <w:num w:numId="17" w16cid:durableId="1727802447">
    <w:abstractNumId w:val="26"/>
  </w:num>
  <w:num w:numId="18" w16cid:durableId="90247487">
    <w:abstractNumId w:val="29"/>
  </w:num>
  <w:num w:numId="19" w16cid:durableId="1592084878">
    <w:abstractNumId w:val="25"/>
  </w:num>
  <w:num w:numId="20" w16cid:durableId="1531190138">
    <w:abstractNumId w:val="16"/>
  </w:num>
  <w:num w:numId="21" w16cid:durableId="360595830">
    <w:abstractNumId w:val="28"/>
  </w:num>
  <w:num w:numId="22" w16cid:durableId="1209606833">
    <w:abstractNumId w:val="4"/>
  </w:num>
  <w:num w:numId="23" w16cid:durableId="1480463969">
    <w:abstractNumId w:val="0"/>
  </w:num>
  <w:num w:numId="24" w16cid:durableId="1102847014">
    <w:abstractNumId w:val="2"/>
  </w:num>
  <w:num w:numId="25" w16cid:durableId="867987824">
    <w:abstractNumId w:val="12"/>
  </w:num>
  <w:num w:numId="26" w16cid:durableId="1775519664">
    <w:abstractNumId w:val="1"/>
  </w:num>
  <w:num w:numId="27" w16cid:durableId="1162886951">
    <w:abstractNumId w:val="6"/>
  </w:num>
  <w:num w:numId="28" w16cid:durableId="1211962871">
    <w:abstractNumId w:val="8"/>
  </w:num>
  <w:num w:numId="29" w16cid:durableId="1117143230">
    <w:abstractNumId w:val="22"/>
  </w:num>
  <w:num w:numId="30" w16cid:durableId="15659915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E8"/>
    <w:rsid w:val="00000E44"/>
    <w:rsid w:val="00006193"/>
    <w:rsid w:val="00006A64"/>
    <w:rsid w:val="00007576"/>
    <w:rsid w:val="00014D3E"/>
    <w:rsid w:val="0001520B"/>
    <w:rsid w:val="00015812"/>
    <w:rsid w:val="00015D6F"/>
    <w:rsid w:val="00027B6F"/>
    <w:rsid w:val="00027C5F"/>
    <w:rsid w:val="000326E2"/>
    <w:rsid w:val="00033256"/>
    <w:rsid w:val="00035AD8"/>
    <w:rsid w:val="00046053"/>
    <w:rsid w:val="00046414"/>
    <w:rsid w:val="00046C3C"/>
    <w:rsid w:val="000523B9"/>
    <w:rsid w:val="0005263D"/>
    <w:rsid w:val="00060357"/>
    <w:rsid w:val="00061142"/>
    <w:rsid w:val="00062904"/>
    <w:rsid w:val="000629B8"/>
    <w:rsid w:val="00063559"/>
    <w:rsid w:val="0006794A"/>
    <w:rsid w:val="000769BA"/>
    <w:rsid w:val="00077247"/>
    <w:rsid w:val="00080F18"/>
    <w:rsid w:val="000857FD"/>
    <w:rsid w:val="00090BEF"/>
    <w:rsid w:val="00090F77"/>
    <w:rsid w:val="000924B1"/>
    <w:rsid w:val="00096357"/>
    <w:rsid w:val="000A4C9E"/>
    <w:rsid w:val="000A4E38"/>
    <w:rsid w:val="000A5F4B"/>
    <w:rsid w:val="000B3687"/>
    <w:rsid w:val="000B774C"/>
    <w:rsid w:val="000C055E"/>
    <w:rsid w:val="000C426B"/>
    <w:rsid w:val="000C7C65"/>
    <w:rsid w:val="000D3E7A"/>
    <w:rsid w:val="000E068D"/>
    <w:rsid w:val="000E2A97"/>
    <w:rsid w:val="000F67D8"/>
    <w:rsid w:val="000F6F52"/>
    <w:rsid w:val="000F7298"/>
    <w:rsid w:val="000F7A2A"/>
    <w:rsid w:val="00100E81"/>
    <w:rsid w:val="00101A65"/>
    <w:rsid w:val="00104070"/>
    <w:rsid w:val="001040F0"/>
    <w:rsid w:val="00111BA9"/>
    <w:rsid w:val="00111F92"/>
    <w:rsid w:val="00112267"/>
    <w:rsid w:val="001124D9"/>
    <w:rsid w:val="0011254E"/>
    <w:rsid w:val="00112A11"/>
    <w:rsid w:val="00114FF3"/>
    <w:rsid w:val="0012011D"/>
    <w:rsid w:val="001218BD"/>
    <w:rsid w:val="00122E4B"/>
    <w:rsid w:val="00123584"/>
    <w:rsid w:val="00126914"/>
    <w:rsid w:val="0013258C"/>
    <w:rsid w:val="00133D11"/>
    <w:rsid w:val="00137399"/>
    <w:rsid w:val="001375B0"/>
    <w:rsid w:val="00140704"/>
    <w:rsid w:val="001419A3"/>
    <w:rsid w:val="00142D6C"/>
    <w:rsid w:val="00143E97"/>
    <w:rsid w:val="00146F39"/>
    <w:rsid w:val="00152DA9"/>
    <w:rsid w:val="00153065"/>
    <w:rsid w:val="001531C5"/>
    <w:rsid w:val="00166BDB"/>
    <w:rsid w:val="00167598"/>
    <w:rsid w:val="00172171"/>
    <w:rsid w:val="0017263F"/>
    <w:rsid w:val="00172B00"/>
    <w:rsid w:val="00172F78"/>
    <w:rsid w:val="0017318B"/>
    <w:rsid w:val="00182C1C"/>
    <w:rsid w:val="001935B1"/>
    <w:rsid w:val="001A2334"/>
    <w:rsid w:val="001B1F0F"/>
    <w:rsid w:val="001B2530"/>
    <w:rsid w:val="001B2EFB"/>
    <w:rsid w:val="001B70E8"/>
    <w:rsid w:val="001C4997"/>
    <w:rsid w:val="001C63F6"/>
    <w:rsid w:val="001D129D"/>
    <w:rsid w:val="001D1F4A"/>
    <w:rsid w:val="001D259F"/>
    <w:rsid w:val="001D4ED9"/>
    <w:rsid w:val="001D5215"/>
    <w:rsid w:val="001D5B51"/>
    <w:rsid w:val="001E235E"/>
    <w:rsid w:val="001E2C38"/>
    <w:rsid w:val="001E7126"/>
    <w:rsid w:val="001F29A3"/>
    <w:rsid w:val="001F75D8"/>
    <w:rsid w:val="00200952"/>
    <w:rsid w:val="0020650F"/>
    <w:rsid w:val="00207626"/>
    <w:rsid w:val="002118B7"/>
    <w:rsid w:val="0021296B"/>
    <w:rsid w:val="00214868"/>
    <w:rsid w:val="00214A56"/>
    <w:rsid w:val="00220C98"/>
    <w:rsid w:val="00222D9B"/>
    <w:rsid w:val="00223A94"/>
    <w:rsid w:val="00227AE9"/>
    <w:rsid w:val="00233FD7"/>
    <w:rsid w:val="0023568F"/>
    <w:rsid w:val="00235D94"/>
    <w:rsid w:val="0024297F"/>
    <w:rsid w:val="00243390"/>
    <w:rsid w:val="002449FD"/>
    <w:rsid w:val="00253987"/>
    <w:rsid w:val="00253ADB"/>
    <w:rsid w:val="002604BF"/>
    <w:rsid w:val="00262746"/>
    <w:rsid w:val="00270B34"/>
    <w:rsid w:val="002734AD"/>
    <w:rsid w:val="00273B94"/>
    <w:rsid w:val="0027627A"/>
    <w:rsid w:val="00282C42"/>
    <w:rsid w:val="00287C52"/>
    <w:rsid w:val="00290666"/>
    <w:rsid w:val="00291A14"/>
    <w:rsid w:val="00293BB7"/>
    <w:rsid w:val="0029419B"/>
    <w:rsid w:val="00296B4A"/>
    <w:rsid w:val="002A5D70"/>
    <w:rsid w:val="002A641D"/>
    <w:rsid w:val="002B10A6"/>
    <w:rsid w:val="002B1F9C"/>
    <w:rsid w:val="002B62C1"/>
    <w:rsid w:val="002C58A4"/>
    <w:rsid w:val="002D26B8"/>
    <w:rsid w:val="002D4B0A"/>
    <w:rsid w:val="002D5D28"/>
    <w:rsid w:val="002D6746"/>
    <w:rsid w:val="002D69C7"/>
    <w:rsid w:val="002E0402"/>
    <w:rsid w:val="002E3DF4"/>
    <w:rsid w:val="002F6EB3"/>
    <w:rsid w:val="002F7F43"/>
    <w:rsid w:val="00300D55"/>
    <w:rsid w:val="00303AC4"/>
    <w:rsid w:val="00315C2D"/>
    <w:rsid w:val="00317FA7"/>
    <w:rsid w:val="0032030A"/>
    <w:rsid w:val="00321D2D"/>
    <w:rsid w:val="00322AB3"/>
    <w:rsid w:val="003239E0"/>
    <w:rsid w:val="00323BC7"/>
    <w:rsid w:val="00324781"/>
    <w:rsid w:val="003329CB"/>
    <w:rsid w:val="003414D6"/>
    <w:rsid w:val="00344ADD"/>
    <w:rsid w:val="00344BE2"/>
    <w:rsid w:val="00346FDE"/>
    <w:rsid w:val="00350212"/>
    <w:rsid w:val="003526C0"/>
    <w:rsid w:val="003561B2"/>
    <w:rsid w:val="00356570"/>
    <w:rsid w:val="00356639"/>
    <w:rsid w:val="00360EDA"/>
    <w:rsid w:val="00361832"/>
    <w:rsid w:val="00361893"/>
    <w:rsid w:val="003627C4"/>
    <w:rsid w:val="0036484D"/>
    <w:rsid w:val="00365A68"/>
    <w:rsid w:val="00374E45"/>
    <w:rsid w:val="003772E0"/>
    <w:rsid w:val="0038023F"/>
    <w:rsid w:val="00382B8D"/>
    <w:rsid w:val="00383821"/>
    <w:rsid w:val="00386551"/>
    <w:rsid w:val="00391365"/>
    <w:rsid w:val="00396E51"/>
    <w:rsid w:val="00397989"/>
    <w:rsid w:val="003A1DE6"/>
    <w:rsid w:val="003A3A56"/>
    <w:rsid w:val="003A6554"/>
    <w:rsid w:val="003B147F"/>
    <w:rsid w:val="003B2BE6"/>
    <w:rsid w:val="003B6BC9"/>
    <w:rsid w:val="003C1C22"/>
    <w:rsid w:val="003C5461"/>
    <w:rsid w:val="003C5D23"/>
    <w:rsid w:val="003C65F1"/>
    <w:rsid w:val="003D2119"/>
    <w:rsid w:val="003E419E"/>
    <w:rsid w:val="003F0834"/>
    <w:rsid w:val="003F3551"/>
    <w:rsid w:val="003F4583"/>
    <w:rsid w:val="003F5018"/>
    <w:rsid w:val="003F5AAD"/>
    <w:rsid w:val="00402A11"/>
    <w:rsid w:val="0040325D"/>
    <w:rsid w:val="00404671"/>
    <w:rsid w:val="00405D1A"/>
    <w:rsid w:val="00407284"/>
    <w:rsid w:val="00414EAA"/>
    <w:rsid w:val="00416091"/>
    <w:rsid w:val="00416CA3"/>
    <w:rsid w:val="0042198E"/>
    <w:rsid w:val="004242B7"/>
    <w:rsid w:val="00431564"/>
    <w:rsid w:val="004319DB"/>
    <w:rsid w:val="0044049C"/>
    <w:rsid w:val="00440BD5"/>
    <w:rsid w:val="00441ED6"/>
    <w:rsid w:val="004442C0"/>
    <w:rsid w:val="00445133"/>
    <w:rsid w:val="00445665"/>
    <w:rsid w:val="00454215"/>
    <w:rsid w:val="00455F78"/>
    <w:rsid w:val="00456647"/>
    <w:rsid w:val="00460711"/>
    <w:rsid w:val="00461205"/>
    <w:rsid w:val="0046557E"/>
    <w:rsid w:val="00465FF9"/>
    <w:rsid w:val="004674B7"/>
    <w:rsid w:val="00470DF3"/>
    <w:rsid w:val="0047183B"/>
    <w:rsid w:val="00472669"/>
    <w:rsid w:val="00473086"/>
    <w:rsid w:val="00473936"/>
    <w:rsid w:val="0047411D"/>
    <w:rsid w:val="00477D4D"/>
    <w:rsid w:val="00480806"/>
    <w:rsid w:val="004848A9"/>
    <w:rsid w:val="00484C49"/>
    <w:rsid w:val="004854BA"/>
    <w:rsid w:val="00490A99"/>
    <w:rsid w:val="0049244C"/>
    <w:rsid w:val="0049556F"/>
    <w:rsid w:val="0049728D"/>
    <w:rsid w:val="00497B53"/>
    <w:rsid w:val="004A085E"/>
    <w:rsid w:val="004A110F"/>
    <w:rsid w:val="004A1804"/>
    <w:rsid w:val="004A217F"/>
    <w:rsid w:val="004A347C"/>
    <w:rsid w:val="004A6B83"/>
    <w:rsid w:val="004A6F36"/>
    <w:rsid w:val="004B650F"/>
    <w:rsid w:val="004C12F3"/>
    <w:rsid w:val="004D2848"/>
    <w:rsid w:val="004D464D"/>
    <w:rsid w:val="004D6E91"/>
    <w:rsid w:val="004E01F9"/>
    <w:rsid w:val="004E1216"/>
    <w:rsid w:val="004E13E1"/>
    <w:rsid w:val="004E288E"/>
    <w:rsid w:val="004E329F"/>
    <w:rsid w:val="004E3435"/>
    <w:rsid w:val="004E5EF4"/>
    <w:rsid w:val="004E77A2"/>
    <w:rsid w:val="004F7F59"/>
    <w:rsid w:val="00500F94"/>
    <w:rsid w:val="0050117F"/>
    <w:rsid w:val="00504942"/>
    <w:rsid w:val="00505DFF"/>
    <w:rsid w:val="0051228D"/>
    <w:rsid w:val="005206AC"/>
    <w:rsid w:val="00523C1C"/>
    <w:rsid w:val="005259AD"/>
    <w:rsid w:val="00532403"/>
    <w:rsid w:val="00532E37"/>
    <w:rsid w:val="0053307D"/>
    <w:rsid w:val="00533A5C"/>
    <w:rsid w:val="00534259"/>
    <w:rsid w:val="00541AE6"/>
    <w:rsid w:val="00546073"/>
    <w:rsid w:val="00552766"/>
    <w:rsid w:val="00552CEA"/>
    <w:rsid w:val="00553360"/>
    <w:rsid w:val="00556516"/>
    <w:rsid w:val="00561612"/>
    <w:rsid w:val="00564659"/>
    <w:rsid w:val="0057354A"/>
    <w:rsid w:val="00576335"/>
    <w:rsid w:val="005763DB"/>
    <w:rsid w:val="00576F2C"/>
    <w:rsid w:val="00580606"/>
    <w:rsid w:val="00583E28"/>
    <w:rsid w:val="005865B6"/>
    <w:rsid w:val="00590775"/>
    <w:rsid w:val="00595492"/>
    <w:rsid w:val="005A0022"/>
    <w:rsid w:val="005A1B32"/>
    <w:rsid w:val="005A3292"/>
    <w:rsid w:val="005B0A1A"/>
    <w:rsid w:val="005B1415"/>
    <w:rsid w:val="005B272F"/>
    <w:rsid w:val="005B3C36"/>
    <w:rsid w:val="005C1B6F"/>
    <w:rsid w:val="005C28AB"/>
    <w:rsid w:val="005C2CF1"/>
    <w:rsid w:val="005C6971"/>
    <w:rsid w:val="005D0020"/>
    <w:rsid w:val="005D194A"/>
    <w:rsid w:val="005D1DA6"/>
    <w:rsid w:val="005D43E0"/>
    <w:rsid w:val="005D6AC3"/>
    <w:rsid w:val="005E1950"/>
    <w:rsid w:val="005E317D"/>
    <w:rsid w:val="005E3488"/>
    <w:rsid w:val="005E4C04"/>
    <w:rsid w:val="005E5E22"/>
    <w:rsid w:val="005E68C0"/>
    <w:rsid w:val="005E7969"/>
    <w:rsid w:val="005F03E7"/>
    <w:rsid w:val="005F085D"/>
    <w:rsid w:val="005F1D25"/>
    <w:rsid w:val="005F267A"/>
    <w:rsid w:val="005F676A"/>
    <w:rsid w:val="005F7220"/>
    <w:rsid w:val="005F7951"/>
    <w:rsid w:val="00600C2F"/>
    <w:rsid w:val="0060286A"/>
    <w:rsid w:val="00607B66"/>
    <w:rsid w:val="006108E7"/>
    <w:rsid w:val="0061307E"/>
    <w:rsid w:val="00614B9B"/>
    <w:rsid w:val="00620990"/>
    <w:rsid w:val="00627400"/>
    <w:rsid w:val="00630C41"/>
    <w:rsid w:val="0063275C"/>
    <w:rsid w:val="006338F7"/>
    <w:rsid w:val="00633CF6"/>
    <w:rsid w:val="00634DEA"/>
    <w:rsid w:val="006371DF"/>
    <w:rsid w:val="00640F66"/>
    <w:rsid w:val="0064142F"/>
    <w:rsid w:val="00650309"/>
    <w:rsid w:val="006515A3"/>
    <w:rsid w:val="0065280D"/>
    <w:rsid w:val="006536CC"/>
    <w:rsid w:val="00662DEF"/>
    <w:rsid w:val="00665398"/>
    <w:rsid w:val="00665F1E"/>
    <w:rsid w:val="00671B77"/>
    <w:rsid w:val="00672374"/>
    <w:rsid w:val="00672A9B"/>
    <w:rsid w:val="00680D84"/>
    <w:rsid w:val="0068108E"/>
    <w:rsid w:val="00681708"/>
    <w:rsid w:val="0068254D"/>
    <w:rsid w:val="00693777"/>
    <w:rsid w:val="00697496"/>
    <w:rsid w:val="006A3C43"/>
    <w:rsid w:val="006A4B8C"/>
    <w:rsid w:val="006A549C"/>
    <w:rsid w:val="006A644C"/>
    <w:rsid w:val="006A6898"/>
    <w:rsid w:val="006B405B"/>
    <w:rsid w:val="006B66A0"/>
    <w:rsid w:val="006B76E2"/>
    <w:rsid w:val="006C39CF"/>
    <w:rsid w:val="006C5093"/>
    <w:rsid w:val="006D49B8"/>
    <w:rsid w:val="006D4DE4"/>
    <w:rsid w:val="006D5BB4"/>
    <w:rsid w:val="006D5E20"/>
    <w:rsid w:val="006D7A0D"/>
    <w:rsid w:val="006D7CE6"/>
    <w:rsid w:val="006E0B16"/>
    <w:rsid w:val="006E3A62"/>
    <w:rsid w:val="006E3EAD"/>
    <w:rsid w:val="006F4BA0"/>
    <w:rsid w:val="006F531B"/>
    <w:rsid w:val="0070133C"/>
    <w:rsid w:val="00702EF0"/>
    <w:rsid w:val="00705AE8"/>
    <w:rsid w:val="007142B1"/>
    <w:rsid w:val="00714EA1"/>
    <w:rsid w:val="00716202"/>
    <w:rsid w:val="00717295"/>
    <w:rsid w:val="00726B94"/>
    <w:rsid w:val="007304EB"/>
    <w:rsid w:val="00734C86"/>
    <w:rsid w:val="007428F2"/>
    <w:rsid w:val="00745BCB"/>
    <w:rsid w:val="00751338"/>
    <w:rsid w:val="00751D68"/>
    <w:rsid w:val="00753FC7"/>
    <w:rsid w:val="00757511"/>
    <w:rsid w:val="00770B7E"/>
    <w:rsid w:val="0077789D"/>
    <w:rsid w:val="00780F6D"/>
    <w:rsid w:val="00781665"/>
    <w:rsid w:val="00782394"/>
    <w:rsid w:val="00784108"/>
    <w:rsid w:val="00785622"/>
    <w:rsid w:val="00792ED0"/>
    <w:rsid w:val="00795643"/>
    <w:rsid w:val="007A2C70"/>
    <w:rsid w:val="007A3D9E"/>
    <w:rsid w:val="007A47AE"/>
    <w:rsid w:val="007A66BB"/>
    <w:rsid w:val="007A687F"/>
    <w:rsid w:val="007B2E11"/>
    <w:rsid w:val="007B34B9"/>
    <w:rsid w:val="007B3B8F"/>
    <w:rsid w:val="007B6469"/>
    <w:rsid w:val="007B68B4"/>
    <w:rsid w:val="007C14DC"/>
    <w:rsid w:val="007C268F"/>
    <w:rsid w:val="007C2980"/>
    <w:rsid w:val="007C2CB0"/>
    <w:rsid w:val="007C55FF"/>
    <w:rsid w:val="007D48CD"/>
    <w:rsid w:val="007D68FE"/>
    <w:rsid w:val="007D76D2"/>
    <w:rsid w:val="007D7B36"/>
    <w:rsid w:val="007E04A3"/>
    <w:rsid w:val="007E693B"/>
    <w:rsid w:val="007F77B5"/>
    <w:rsid w:val="00804423"/>
    <w:rsid w:val="0080710C"/>
    <w:rsid w:val="00811464"/>
    <w:rsid w:val="008116AD"/>
    <w:rsid w:val="00811E65"/>
    <w:rsid w:val="008143FE"/>
    <w:rsid w:val="008147A2"/>
    <w:rsid w:val="00814CF4"/>
    <w:rsid w:val="0081506F"/>
    <w:rsid w:val="0081601D"/>
    <w:rsid w:val="008231DD"/>
    <w:rsid w:val="00825E11"/>
    <w:rsid w:val="008265B6"/>
    <w:rsid w:val="0083039D"/>
    <w:rsid w:val="00830530"/>
    <w:rsid w:val="008325ED"/>
    <w:rsid w:val="00837CF6"/>
    <w:rsid w:val="00840BD1"/>
    <w:rsid w:val="008452AA"/>
    <w:rsid w:val="0085149E"/>
    <w:rsid w:val="00851A14"/>
    <w:rsid w:val="0085300A"/>
    <w:rsid w:val="00853311"/>
    <w:rsid w:val="00856BC3"/>
    <w:rsid w:val="008651AA"/>
    <w:rsid w:val="008652F1"/>
    <w:rsid w:val="0086689B"/>
    <w:rsid w:val="00866CF7"/>
    <w:rsid w:val="00867A65"/>
    <w:rsid w:val="00870D88"/>
    <w:rsid w:val="00872035"/>
    <w:rsid w:val="00872AEA"/>
    <w:rsid w:val="00874A5F"/>
    <w:rsid w:val="00875700"/>
    <w:rsid w:val="00875FBC"/>
    <w:rsid w:val="00876B68"/>
    <w:rsid w:val="00881DFC"/>
    <w:rsid w:val="00882717"/>
    <w:rsid w:val="00883ECF"/>
    <w:rsid w:val="00884BB4"/>
    <w:rsid w:val="00885D12"/>
    <w:rsid w:val="00894CE3"/>
    <w:rsid w:val="00895868"/>
    <w:rsid w:val="008976EB"/>
    <w:rsid w:val="008977D8"/>
    <w:rsid w:val="00897FBC"/>
    <w:rsid w:val="008B3CA1"/>
    <w:rsid w:val="008B5714"/>
    <w:rsid w:val="008B5AA6"/>
    <w:rsid w:val="008B7B3C"/>
    <w:rsid w:val="008C472A"/>
    <w:rsid w:val="008C506F"/>
    <w:rsid w:val="008C79EF"/>
    <w:rsid w:val="008D0A4B"/>
    <w:rsid w:val="008D3A43"/>
    <w:rsid w:val="008D7F69"/>
    <w:rsid w:val="008E243E"/>
    <w:rsid w:val="008E2CEC"/>
    <w:rsid w:val="008E71C7"/>
    <w:rsid w:val="008E7654"/>
    <w:rsid w:val="008F0191"/>
    <w:rsid w:val="008F19B0"/>
    <w:rsid w:val="008F2DFE"/>
    <w:rsid w:val="008F55AD"/>
    <w:rsid w:val="008F74E9"/>
    <w:rsid w:val="00900438"/>
    <w:rsid w:val="0090254A"/>
    <w:rsid w:val="009030A2"/>
    <w:rsid w:val="009049F3"/>
    <w:rsid w:val="00905CED"/>
    <w:rsid w:val="00911B22"/>
    <w:rsid w:val="0091353C"/>
    <w:rsid w:val="00920786"/>
    <w:rsid w:val="00922D77"/>
    <w:rsid w:val="00922DFA"/>
    <w:rsid w:val="009230D4"/>
    <w:rsid w:val="0092489F"/>
    <w:rsid w:val="00927D35"/>
    <w:rsid w:val="00931C08"/>
    <w:rsid w:val="00935E1B"/>
    <w:rsid w:val="00936084"/>
    <w:rsid w:val="00944B7D"/>
    <w:rsid w:val="00944E0F"/>
    <w:rsid w:val="009452D1"/>
    <w:rsid w:val="0094777B"/>
    <w:rsid w:val="00955191"/>
    <w:rsid w:val="00956479"/>
    <w:rsid w:val="00956BAE"/>
    <w:rsid w:val="0096449F"/>
    <w:rsid w:val="00971800"/>
    <w:rsid w:val="00971E69"/>
    <w:rsid w:val="009738E0"/>
    <w:rsid w:val="009750E8"/>
    <w:rsid w:val="00976A49"/>
    <w:rsid w:val="00977D40"/>
    <w:rsid w:val="0098527C"/>
    <w:rsid w:val="009868B1"/>
    <w:rsid w:val="009876ED"/>
    <w:rsid w:val="00990285"/>
    <w:rsid w:val="00993815"/>
    <w:rsid w:val="00995DD0"/>
    <w:rsid w:val="00996B55"/>
    <w:rsid w:val="009A0BC2"/>
    <w:rsid w:val="009A7058"/>
    <w:rsid w:val="009A75E9"/>
    <w:rsid w:val="009B1B23"/>
    <w:rsid w:val="009B3B25"/>
    <w:rsid w:val="009B4FFF"/>
    <w:rsid w:val="009B5554"/>
    <w:rsid w:val="009B682A"/>
    <w:rsid w:val="009C5033"/>
    <w:rsid w:val="009C5511"/>
    <w:rsid w:val="009C5B00"/>
    <w:rsid w:val="009C7D91"/>
    <w:rsid w:val="009D0B67"/>
    <w:rsid w:val="009D0DFA"/>
    <w:rsid w:val="009D3182"/>
    <w:rsid w:val="009D5EC7"/>
    <w:rsid w:val="009D614D"/>
    <w:rsid w:val="009D68E2"/>
    <w:rsid w:val="009D7809"/>
    <w:rsid w:val="009E36A0"/>
    <w:rsid w:val="009E4151"/>
    <w:rsid w:val="009E675E"/>
    <w:rsid w:val="00A058C9"/>
    <w:rsid w:val="00A06892"/>
    <w:rsid w:val="00A07B88"/>
    <w:rsid w:val="00A133C8"/>
    <w:rsid w:val="00A13594"/>
    <w:rsid w:val="00A1638C"/>
    <w:rsid w:val="00A16969"/>
    <w:rsid w:val="00A203BD"/>
    <w:rsid w:val="00A204F4"/>
    <w:rsid w:val="00A26D50"/>
    <w:rsid w:val="00A27E06"/>
    <w:rsid w:val="00A312B3"/>
    <w:rsid w:val="00A31881"/>
    <w:rsid w:val="00A45118"/>
    <w:rsid w:val="00A4601E"/>
    <w:rsid w:val="00A4787E"/>
    <w:rsid w:val="00A57220"/>
    <w:rsid w:val="00A616AA"/>
    <w:rsid w:val="00A701B4"/>
    <w:rsid w:val="00A74DE0"/>
    <w:rsid w:val="00A820A0"/>
    <w:rsid w:val="00A82251"/>
    <w:rsid w:val="00A8493A"/>
    <w:rsid w:val="00A91917"/>
    <w:rsid w:val="00A9311E"/>
    <w:rsid w:val="00A9703C"/>
    <w:rsid w:val="00AA43D1"/>
    <w:rsid w:val="00AB121B"/>
    <w:rsid w:val="00AB4DB9"/>
    <w:rsid w:val="00AB63DA"/>
    <w:rsid w:val="00AD0F19"/>
    <w:rsid w:val="00AD161F"/>
    <w:rsid w:val="00AD28D1"/>
    <w:rsid w:val="00AD2B33"/>
    <w:rsid w:val="00AD3FB3"/>
    <w:rsid w:val="00AD4A16"/>
    <w:rsid w:val="00AD57C2"/>
    <w:rsid w:val="00AD79AA"/>
    <w:rsid w:val="00AE0889"/>
    <w:rsid w:val="00AE2593"/>
    <w:rsid w:val="00AF5A68"/>
    <w:rsid w:val="00AF78F6"/>
    <w:rsid w:val="00B03526"/>
    <w:rsid w:val="00B04BF3"/>
    <w:rsid w:val="00B05006"/>
    <w:rsid w:val="00B12477"/>
    <w:rsid w:val="00B203F4"/>
    <w:rsid w:val="00B2055D"/>
    <w:rsid w:val="00B2208A"/>
    <w:rsid w:val="00B22D67"/>
    <w:rsid w:val="00B25A72"/>
    <w:rsid w:val="00B3062B"/>
    <w:rsid w:val="00B322B1"/>
    <w:rsid w:val="00B337FA"/>
    <w:rsid w:val="00B355AB"/>
    <w:rsid w:val="00B365FE"/>
    <w:rsid w:val="00B44DEB"/>
    <w:rsid w:val="00B475E6"/>
    <w:rsid w:val="00B527FD"/>
    <w:rsid w:val="00B541D9"/>
    <w:rsid w:val="00B54207"/>
    <w:rsid w:val="00B570DA"/>
    <w:rsid w:val="00B60E1A"/>
    <w:rsid w:val="00B71193"/>
    <w:rsid w:val="00B71269"/>
    <w:rsid w:val="00B7174E"/>
    <w:rsid w:val="00B723C7"/>
    <w:rsid w:val="00B72AF1"/>
    <w:rsid w:val="00B762F2"/>
    <w:rsid w:val="00B801FF"/>
    <w:rsid w:val="00B8051B"/>
    <w:rsid w:val="00B806CE"/>
    <w:rsid w:val="00B80AD0"/>
    <w:rsid w:val="00B814F1"/>
    <w:rsid w:val="00B83279"/>
    <w:rsid w:val="00B84377"/>
    <w:rsid w:val="00B8490A"/>
    <w:rsid w:val="00B86B02"/>
    <w:rsid w:val="00B9189F"/>
    <w:rsid w:val="00B93BF2"/>
    <w:rsid w:val="00B948D3"/>
    <w:rsid w:val="00BA6ADB"/>
    <w:rsid w:val="00BB0898"/>
    <w:rsid w:val="00BB3922"/>
    <w:rsid w:val="00BB6A26"/>
    <w:rsid w:val="00BB71A7"/>
    <w:rsid w:val="00BC63CB"/>
    <w:rsid w:val="00BC64C6"/>
    <w:rsid w:val="00BC727D"/>
    <w:rsid w:val="00BC7A20"/>
    <w:rsid w:val="00BD1A47"/>
    <w:rsid w:val="00BD4B58"/>
    <w:rsid w:val="00BE4513"/>
    <w:rsid w:val="00BE5F65"/>
    <w:rsid w:val="00BE7036"/>
    <w:rsid w:val="00BE79D5"/>
    <w:rsid w:val="00BF14BC"/>
    <w:rsid w:val="00BF50EC"/>
    <w:rsid w:val="00BF7833"/>
    <w:rsid w:val="00BF7DBD"/>
    <w:rsid w:val="00C019A4"/>
    <w:rsid w:val="00C164A5"/>
    <w:rsid w:val="00C242B6"/>
    <w:rsid w:val="00C25DA2"/>
    <w:rsid w:val="00C30248"/>
    <w:rsid w:val="00C30C5F"/>
    <w:rsid w:val="00C32007"/>
    <w:rsid w:val="00C329DC"/>
    <w:rsid w:val="00C36C9E"/>
    <w:rsid w:val="00C37426"/>
    <w:rsid w:val="00C40004"/>
    <w:rsid w:val="00C412CB"/>
    <w:rsid w:val="00C4594E"/>
    <w:rsid w:val="00C52C3B"/>
    <w:rsid w:val="00C54E9F"/>
    <w:rsid w:val="00C56F29"/>
    <w:rsid w:val="00C61978"/>
    <w:rsid w:val="00C62174"/>
    <w:rsid w:val="00C636A2"/>
    <w:rsid w:val="00C63DFB"/>
    <w:rsid w:val="00C670F2"/>
    <w:rsid w:val="00C7254D"/>
    <w:rsid w:val="00C73FFB"/>
    <w:rsid w:val="00C74DF9"/>
    <w:rsid w:val="00C8065E"/>
    <w:rsid w:val="00C855D5"/>
    <w:rsid w:val="00C85DA5"/>
    <w:rsid w:val="00C90AEF"/>
    <w:rsid w:val="00C920FD"/>
    <w:rsid w:val="00C930FB"/>
    <w:rsid w:val="00C96E66"/>
    <w:rsid w:val="00CA5286"/>
    <w:rsid w:val="00CB368B"/>
    <w:rsid w:val="00CB4125"/>
    <w:rsid w:val="00CB71E3"/>
    <w:rsid w:val="00CC0FED"/>
    <w:rsid w:val="00CC5833"/>
    <w:rsid w:val="00CC6412"/>
    <w:rsid w:val="00CD3FC1"/>
    <w:rsid w:val="00CD713B"/>
    <w:rsid w:val="00CD71B2"/>
    <w:rsid w:val="00CF1F95"/>
    <w:rsid w:val="00D00BC2"/>
    <w:rsid w:val="00D02F15"/>
    <w:rsid w:val="00D05359"/>
    <w:rsid w:val="00D06621"/>
    <w:rsid w:val="00D14A7D"/>
    <w:rsid w:val="00D1500D"/>
    <w:rsid w:val="00D158C5"/>
    <w:rsid w:val="00D16B0C"/>
    <w:rsid w:val="00D21326"/>
    <w:rsid w:val="00D22655"/>
    <w:rsid w:val="00D238DE"/>
    <w:rsid w:val="00D242F4"/>
    <w:rsid w:val="00D27449"/>
    <w:rsid w:val="00D31A4D"/>
    <w:rsid w:val="00D35178"/>
    <w:rsid w:val="00D411A4"/>
    <w:rsid w:val="00D4216D"/>
    <w:rsid w:val="00D42D8E"/>
    <w:rsid w:val="00D47001"/>
    <w:rsid w:val="00D51F78"/>
    <w:rsid w:val="00D54B43"/>
    <w:rsid w:val="00D61A32"/>
    <w:rsid w:val="00D621B0"/>
    <w:rsid w:val="00D62A20"/>
    <w:rsid w:val="00D63F4E"/>
    <w:rsid w:val="00D71A34"/>
    <w:rsid w:val="00D77710"/>
    <w:rsid w:val="00D80473"/>
    <w:rsid w:val="00D81278"/>
    <w:rsid w:val="00D824CB"/>
    <w:rsid w:val="00D83AE6"/>
    <w:rsid w:val="00D870B0"/>
    <w:rsid w:val="00D9354F"/>
    <w:rsid w:val="00D93F58"/>
    <w:rsid w:val="00D96402"/>
    <w:rsid w:val="00D9768D"/>
    <w:rsid w:val="00DA0249"/>
    <w:rsid w:val="00DA4208"/>
    <w:rsid w:val="00DB2872"/>
    <w:rsid w:val="00DB2A57"/>
    <w:rsid w:val="00DB5404"/>
    <w:rsid w:val="00DB711E"/>
    <w:rsid w:val="00DC3F11"/>
    <w:rsid w:val="00DC443A"/>
    <w:rsid w:val="00DC62FC"/>
    <w:rsid w:val="00DD0996"/>
    <w:rsid w:val="00DD1E7A"/>
    <w:rsid w:val="00DD2E55"/>
    <w:rsid w:val="00DD3948"/>
    <w:rsid w:val="00DD78B8"/>
    <w:rsid w:val="00DE17FA"/>
    <w:rsid w:val="00DF4EFB"/>
    <w:rsid w:val="00E02F50"/>
    <w:rsid w:val="00E0382C"/>
    <w:rsid w:val="00E04DD1"/>
    <w:rsid w:val="00E05D74"/>
    <w:rsid w:val="00E07A1E"/>
    <w:rsid w:val="00E1104F"/>
    <w:rsid w:val="00E13547"/>
    <w:rsid w:val="00E1551F"/>
    <w:rsid w:val="00E16573"/>
    <w:rsid w:val="00E16607"/>
    <w:rsid w:val="00E1761E"/>
    <w:rsid w:val="00E17651"/>
    <w:rsid w:val="00E179BD"/>
    <w:rsid w:val="00E30007"/>
    <w:rsid w:val="00E360A6"/>
    <w:rsid w:val="00E368AB"/>
    <w:rsid w:val="00E41BDE"/>
    <w:rsid w:val="00E45AEF"/>
    <w:rsid w:val="00E478D2"/>
    <w:rsid w:val="00E50108"/>
    <w:rsid w:val="00E52FE6"/>
    <w:rsid w:val="00E5344E"/>
    <w:rsid w:val="00E53CAF"/>
    <w:rsid w:val="00E54898"/>
    <w:rsid w:val="00E54E0E"/>
    <w:rsid w:val="00E57483"/>
    <w:rsid w:val="00E640E8"/>
    <w:rsid w:val="00E65BDF"/>
    <w:rsid w:val="00E705C0"/>
    <w:rsid w:val="00E7311D"/>
    <w:rsid w:val="00E74792"/>
    <w:rsid w:val="00E757C0"/>
    <w:rsid w:val="00E778FA"/>
    <w:rsid w:val="00E80F39"/>
    <w:rsid w:val="00E80F5F"/>
    <w:rsid w:val="00E832EB"/>
    <w:rsid w:val="00E852B8"/>
    <w:rsid w:val="00E912BD"/>
    <w:rsid w:val="00E9448E"/>
    <w:rsid w:val="00E9606C"/>
    <w:rsid w:val="00E96734"/>
    <w:rsid w:val="00E969FB"/>
    <w:rsid w:val="00EA30D5"/>
    <w:rsid w:val="00EA79EE"/>
    <w:rsid w:val="00EB4B7B"/>
    <w:rsid w:val="00EB5694"/>
    <w:rsid w:val="00EB5CD4"/>
    <w:rsid w:val="00EB5D8C"/>
    <w:rsid w:val="00EB5D9A"/>
    <w:rsid w:val="00EC0348"/>
    <w:rsid w:val="00EC60F9"/>
    <w:rsid w:val="00ED14EC"/>
    <w:rsid w:val="00ED5720"/>
    <w:rsid w:val="00EE2315"/>
    <w:rsid w:val="00EE37EF"/>
    <w:rsid w:val="00EE47D8"/>
    <w:rsid w:val="00EE77DF"/>
    <w:rsid w:val="00EF1F8F"/>
    <w:rsid w:val="00EF58D1"/>
    <w:rsid w:val="00EF6590"/>
    <w:rsid w:val="00F008A7"/>
    <w:rsid w:val="00F119C2"/>
    <w:rsid w:val="00F13AD8"/>
    <w:rsid w:val="00F14037"/>
    <w:rsid w:val="00F24068"/>
    <w:rsid w:val="00F25740"/>
    <w:rsid w:val="00F2620B"/>
    <w:rsid w:val="00F27085"/>
    <w:rsid w:val="00F272BA"/>
    <w:rsid w:val="00F31189"/>
    <w:rsid w:val="00F31794"/>
    <w:rsid w:val="00F33625"/>
    <w:rsid w:val="00F407DF"/>
    <w:rsid w:val="00F4135E"/>
    <w:rsid w:val="00F43249"/>
    <w:rsid w:val="00F5643E"/>
    <w:rsid w:val="00F56843"/>
    <w:rsid w:val="00F62FBA"/>
    <w:rsid w:val="00F64D54"/>
    <w:rsid w:val="00F73F4B"/>
    <w:rsid w:val="00F76550"/>
    <w:rsid w:val="00F80F91"/>
    <w:rsid w:val="00F823A1"/>
    <w:rsid w:val="00F824C3"/>
    <w:rsid w:val="00F851A0"/>
    <w:rsid w:val="00F8761C"/>
    <w:rsid w:val="00F91A09"/>
    <w:rsid w:val="00F97780"/>
    <w:rsid w:val="00FA10E9"/>
    <w:rsid w:val="00FA15B3"/>
    <w:rsid w:val="00FA2FFD"/>
    <w:rsid w:val="00FA4742"/>
    <w:rsid w:val="00FA5C23"/>
    <w:rsid w:val="00FA76A7"/>
    <w:rsid w:val="00FA78B9"/>
    <w:rsid w:val="00FB2AFF"/>
    <w:rsid w:val="00FB6AA2"/>
    <w:rsid w:val="00FB6FAC"/>
    <w:rsid w:val="00FC14A9"/>
    <w:rsid w:val="00FC27EE"/>
    <w:rsid w:val="00FC2BD0"/>
    <w:rsid w:val="00FC6DD7"/>
    <w:rsid w:val="00FC7370"/>
    <w:rsid w:val="00FC7F7B"/>
    <w:rsid w:val="00FD4E44"/>
    <w:rsid w:val="00FE0A81"/>
    <w:rsid w:val="00FE1413"/>
    <w:rsid w:val="00FE41BC"/>
    <w:rsid w:val="00FE6848"/>
    <w:rsid w:val="00FF0B3B"/>
    <w:rsid w:val="00FF218C"/>
    <w:rsid w:val="00FF25EB"/>
    <w:rsid w:val="00FF415D"/>
    <w:rsid w:val="00FF58AD"/>
    <w:rsid w:val="00FF6150"/>
    <w:rsid w:val="00FF6D80"/>
    <w:rsid w:val="00FF7C67"/>
    <w:rsid w:val="0612F6B7"/>
    <w:rsid w:val="06F9038E"/>
    <w:rsid w:val="121EE9DF"/>
    <w:rsid w:val="1418ED3C"/>
    <w:rsid w:val="1732A3BA"/>
    <w:rsid w:val="177ACD79"/>
    <w:rsid w:val="19072E11"/>
    <w:rsid w:val="1A29BE97"/>
    <w:rsid w:val="1A5A971C"/>
    <w:rsid w:val="1B9A07B9"/>
    <w:rsid w:val="1C957FDF"/>
    <w:rsid w:val="2023CC07"/>
    <w:rsid w:val="211293F9"/>
    <w:rsid w:val="2FB487DE"/>
    <w:rsid w:val="30A43118"/>
    <w:rsid w:val="32CF1962"/>
    <w:rsid w:val="36F6A212"/>
    <w:rsid w:val="3835CB97"/>
    <w:rsid w:val="3FD6FACF"/>
    <w:rsid w:val="41DDC9AD"/>
    <w:rsid w:val="4A75D2C8"/>
    <w:rsid w:val="4CF6EBDC"/>
    <w:rsid w:val="50810DCF"/>
    <w:rsid w:val="5350C01B"/>
    <w:rsid w:val="55DB6B61"/>
    <w:rsid w:val="56F0BF51"/>
    <w:rsid w:val="58E0A18C"/>
    <w:rsid w:val="59E9155C"/>
    <w:rsid w:val="5A40C1BA"/>
    <w:rsid w:val="5B4F57BD"/>
    <w:rsid w:val="5C4E142E"/>
    <w:rsid w:val="5D856457"/>
    <w:rsid w:val="5D9E99C0"/>
    <w:rsid w:val="63C706B2"/>
    <w:rsid w:val="63F0A576"/>
    <w:rsid w:val="68AB15FB"/>
    <w:rsid w:val="68DF2308"/>
    <w:rsid w:val="72AA0BAE"/>
    <w:rsid w:val="73DC89FC"/>
    <w:rsid w:val="79DBB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DE787"/>
  <w15:chartTrackingRefBased/>
  <w15:docId w15:val="{299EB8E8-7939-4D5A-A02D-68E794FF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C055E"/>
    <w:pPr>
      <w:ind w:leftChars="200" w:left="480"/>
    </w:pPr>
  </w:style>
  <w:style w:type="table" w:styleId="a5">
    <w:name w:val="Table Grid"/>
    <w:basedOn w:val="a2"/>
    <w:uiPriority w:val="39"/>
    <w:rsid w:val="000F7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FE0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FE0A81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FE0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FE0A81"/>
    <w:rPr>
      <w:sz w:val="20"/>
      <w:szCs w:val="20"/>
    </w:rPr>
  </w:style>
  <w:style w:type="character" w:styleId="aa">
    <w:name w:val="annotation reference"/>
    <w:basedOn w:val="a1"/>
    <w:uiPriority w:val="99"/>
    <w:semiHidden/>
    <w:unhideWhenUsed/>
    <w:rsid w:val="00287C52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287C52"/>
  </w:style>
  <w:style w:type="character" w:customStyle="1" w:styleId="ac">
    <w:name w:val="註解文字 字元"/>
    <w:basedOn w:val="a1"/>
    <w:link w:val="ab"/>
    <w:uiPriority w:val="99"/>
    <w:rsid w:val="00287C52"/>
  </w:style>
  <w:style w:type="paragraph" w:styleId="ad">
    <w:name w:val="annotation subject"/>
    <w:basedOn w:val="ab"/>
    <w:next w:val="ab"/>
    <w:link w:val="ae"/>
    <w:uiPriority w:val="99"/>
    <w:semiHidden/>
    <w:unhideWhenUsed/>
    <w:rsid w:val="00287C5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87C52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287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287C5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unhideWhenUsed/>
    <w:rsid w:val="00E969FB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af1">
    <w:name w:val="Date"/>
    <w:basedOn w:val="a0"/>
    <w:next w:val="a0"/>
    <w:link w:val="af2"/>
    <w:uiPriority w:val="99"/>
    <w:semiHidden/>
    <w:unhideWhenUsed/>
    <w:rsid w:val="00C73FFB"/>
    <w:pPr>
      <w:jc w:val="right"/>
    </w:pPr>
  </w:style>
  <w:style w:type="character" w:customStyle="1" w:styleId="af2">
    <w:name w:val="日期 字元"/>
    <w:basedOn w:val="a1"/>
    <w:link w:val="af1"/>
    <w:uiPriority w:val="99"/>
    <w:semiHidden/>
    <w:rsid w:val="00C73FFB"/>
  </w:style>
  <w:style w:type="paragraph" w:styleId="af3">
    <w:name w:val="caption"/>
    <w:basedOn w:val="a0"/>
    <w:next w:val="a0"/>
    <w:uiPriority w:val="35"/>
    <w:unhideWhenUsed/>
    <w:qFormat/>
    <w:rsid w:val="00FC6DD7"/>
    <w:rPr>
      <w:sz w:val="20"/>
      <w:szCs w:val="20"/>
    </w:rPr>
  </w:style>
  <w:style w:type="paragraph" w:styleId="af4">
    <w:name w:val="table of figures"/>
    <w:basedOn w:val="a0"/>
    <w:next w:val="a0"/>
    <w:uiPriority w:val="99"/>
    <w:unhideWhenUsed/>
    <w:rsid w:val="003A1DE6"/>
    <w:pPr>
      <w:ind w:leftChars="400" w:left="400" w:hangingChars="200" w:hanging="200"/>
    </w:pPr>
  </w:style>
  <w:style w:type="character" w:styleId="af5">
    <w:name w:val="Hyperlink"/>
    <w:basedOn w:val="a1"/>
    <w:uiPriority w:val="99"/>
    <w:unhideWhenUsed/>
    <w:rsid w:val="003A1DE6"/>
    <w:rPr>
      <w:color w:val="0563C1" w:themeColor="hyperlink"/>
      <w:u w:val="single"/>
    </w:rPr>
  </w:style>
  <w:style w:type="paragraph" w:styleId="af6">
    <w:name w:val="footnote text"/>
    <w:basedOn w:val="a0"/>
    <w:link w:val="af7"/>
    <w:uiPriority w:val="99"/>
    <w:semiHidden/>
    <w:unhideWhenUsed/>
    <w:rsid w:val="007E693B"/>
    <w:pPr>
      <w:snapToGrid w:val="0"/>
    </w:pPr>
    <w:rPr>
      <w:sz w:val="20"/>
      <w:szCs w:val="20"/>
    </w:rPr>
  </w:style>
  <w:style w:type="character" w:customStyle="1" w:styleId="af7">
    <w:name w:val="註腳文字 字元"/>
    <w:basedOn w:val="a1"/>
    <w:link w:val="af6"/>
    <w:uiPriority w:val="99"/>
    <w:semiHidden/>
    <w:rsid w:val="007E693B"/>
    <w:rPr>
      <w:sz w:val="20"/>
      <w:szCs w:val="20"/>
    </w:rPr>
  </w:style>
  <w:style w:type="character" w:styleId="af8">
    <w:name w:val="footnote reference"/>
    <w:basedOn w:val="a1"/>
    <w:uiPriority w:val="99"/>
    <w:semiHidden/>
    <w:unhideWhenUsed/>
    <w:rsid w:val="007E693B"/>
    <w:rPr>
      <w:vertAlign w:val="superscript"/>
    </w:rPr>
  </w:style>
  <w:style w:type="paragraph" w:styleId="a">
    <w:name w:val="List Bullet"/>
    <w:basedOn w:val="a0"/>
    <w:uiPriority w:val="99"/>
    <w:unhideWhenUsed/>
    <w:rsid w:val="00D62A20"/>
    <w:pPr>
      <w:numPr>
        <w:numId w:val="23"/>
      </w:numPr>
      <w:contextualSpacing/>
    </w:pPr>
  </w:style>
  <w:style w:type="character" w:styleId="af9">
    <w:name w:val="Strong"/>
    <w:basedOn w:val="a1"/>
    <w:uiPriority w:val="22"/>
    <w:qFormat/>
    <w:rsid w:val="009030A2"/>
    <w:rPr>
      <w:b/>
      <w:bCs/>
    </w:rPr>
  </w:style>
  <w:style w:type="character" w:customStyle="1" w:styleId="inline-flex">
    <w:name w:val="inline-flex"/>
    <w:basedOn w:val="a1"/>
    <w:rsid w:val="009030A2"/>
  </w:style>
  <w:style w:type="character" w:customStyle="1" w:styleId="text-nowrap">
    <w:name w:val="text-nowrap"/>
    <w:basedOn w:val="a1"/>
    <w:rsid w:val="009030A2"/>
  </w:style>
  <w:style w:type="character" w:customStyle="1" w:styleId="t286pc">
    <w:name w:val="t286pc"/>
    <w:basedOn w:val="a1"/>
    <w:rsid w:val="00DD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pidcorg-my.sharepoint.com/personal/ting24_pidc_org_tw/Documents/&#22283;&#36031;&#32626;/&#20986;&#21475;&#24066;&#22580;&#21205;&#33021;&#35413;&#26512;0326/&#28023;&#38364;&#36039;&#26009;&#24235;/&#31532;39&#31456;&#20840;6&#30908;_&#20986;&#21475;&#32317;&#20540;(&#21547;&#24489;&#20986;&#21475;)_10505~11505_&#20840;&#37096;&#22283;&#23478;_&#37329;&#38989;(&#32654;&#20803;&amp;&#26032;&#21488;&#24163;)_&#37325;&#37327;(&#20844;&#22136;&amp;&#20844;&#26020;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pidcorg-my.sharepoint.com/personal/ting24_pidc_org_tw/Documents/&#22283;&#36031;&#32626;/&#20986;&#21475;&#24066;&#22580;&#21205;&#33021;&#35413;&#26512;0326/&#28023;&#38364;&#36039;&#26009;&#24235;/&#31532;39&#31456;&#20840;6&#30908;_&#20986;&#21475;&#32317;&#20540;(&#21547;&#24489;&#20986;&#21475;)_10505~11505_&#20840;&#37096;&#22283;&#23478;_&#37329;&#38989;(&#32654;&#20803;&amp;&#26032;&#21488;&#24163;)_&#37325;&#37327;(&#20844;&#22136;&amp;&#20844;&#26020;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pidcorg-my.sharepoint.com/personal/ting24_pidc_org_tw/Documents/&#22283;&#36031;&#32626;/&#20986;&#21475;&#24066;&#22580;&#21205;&#33021;&#35413;&#26512;0326/&#28023;&#38364;&#36039;&#26009;&#24235;/&#31532;39&#31456;&#20840;6&#30908;_&#20986;&#21475;&#32317;&#20540;(&#21547;&#24489;&#20986;&#21475;)_10505~11505_&#20840;&#37096;&#22283;&#23478;_&#37329;&#38989;(&#32654;&#20803;&amp;&#26032;&#21488;&#24163;)_&#37325;&#37327;(&#20844;&#22136;&amp;&#20844;&#26020;)v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25006872936934"/>
          <c:y val="5.702436495593572E-2"/>
          <c:w val="0.71585989446960829"/>
          <c:h val="0.53107276831453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'115 圖表'!$C$19</c:f>
              <c:strCache>
                <c:ptCount val="1"/>
                <c:pt idx="0">
                  <c:v>五月份出口總額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96B-45CD-9685-0343911A23C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'115 圖表'!$B$21:$B$30</c:f>
              <c:strCache>
                <c:ptCount val="10"/>
                <c:pt idx="0">
                  <c:v>106年5月</c:v>
                </c:pt>
                <c:pt idx="1">
                  <c:v>107年5月</c:v>
                </c:pt>
                <c:pt idx="2">
                  <c:v>108年5月</c:v>
                </c:pt>
                <c:pt idx="3">
                  <c:v>109年5月</c:v>
                </c:pt>
                <c:pt idx="4">
                  <c:v>110年5月</c:v>
                </c:pt>
                <c:pt idx="5">
                  <c:v>111年5月</c:v>
                </c:pt>
                <c:pt idx="6">
                  <c:v>112年5月</c:v>
                </c:pt>
                <c:pt idx="7">
                  <c:v>113年5月</c:v>
                </c:pt>
                <c:pt idx="8">
                  <c:v>114年5月</c:v>
                </c:pt>
                <c:pt idx="9">
                  <c:v>115年5月(初步值)</c:v>
                </c:pt>
              </c:strCache>
            </c:strRef>
          </c:cat>
          <c:val>
            <c:numRef>
              <c:f>'115 圖表'!$C$21:$C$30</c:f>
              <c:numCache>
                <c:formatCode>0.00</c:formatCode>
                <c:ptCount val="10"/>
                <c:pt idx="0">
                  <c:v>17.177250000000001</c:v>
                </c:pt>
                <c:pt idx="1">
                  <c:v>20.856290000000001</c:v>
                </c:pt>
                <c:pt idx="2">
                  <c:v>17.73846</c:v>
                </c:pt>
                <c:pt idx="3">
                  <c:v>14.314120000000001</c:v>
                </c:pt>
                <c:pt idx="4">
                  <c:v>24.52543</c:v>
                </c:pt>
                <c:pt idx="5">
                  <c:v>22.435459999999999</c:v>
                </c:pt>
                <c:pt idx="6">
                  <c:v>15.29091</c:v>
                </c:pt>
                <c:pt idx="7">
                  <c:v>15.49335</c:v>
                </c:pt>
                <c:pt idx="8">
                  <c:v>14.363770000000001</c:v>
                </c:pt>
                <c:pt idx="9">
                  <c:v>15.06134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6B-45CD-9685-0343911A23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6854912"/>
        <c:axId val="314319536"/>
      </c:barChart>
      <c:lineChart>
        <c:grouping val="standard"/>
        <c:varyColors val="0"/>
        <c:ser>
          <c:idx val="1"/>
          <c:order val="1"/>
          <c:tx>
            <c:strRef>
              <c:f>'115 圖表'!$D$19</c:f>
              <c:strCache>
                <c:ptCount val="1"/>
                <c:pt idx="0">
                  <c:v>年增率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4"/>
              <c:layout>
                <c:manualLayout>
                  <c:x val="-4.9682838032342733E-2"/>
                  <c:y val="0.1411690726159229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96B-45CD-9685-0343911A23C4}"/>
                </c:ext>
              </c:extLst>
            </c:dLbl>
            <c:dLbl>
              <c:idx val="6"/>
              <c:layout>
                <c:manualLayout>
                  <c:x val="-5.8876471086275507E-2"/>
                  <c:y val="5.9166666666666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96B-45CD-9685-0343911A23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'115 圖表'!$B$21:$B$30</c:f>
              <c:strCache>
                <c:ptCount val="10"/>
                <c:pt idx="0">
                  <c:v>106年5月</c:v>
                </c:pt>
                <c:pt idx="1">
                  <c:v>107年5月</c:v>
                </c:pt>
                <c:pt idx="2">
                  <c:v>108年5月</c:v>
                </c:pt>
                <c:pt idx="3">
                  <c:v>109年5月</c:v>
                </c:pt>
                <c:pt idx="4">
                  <c:v>110年5月</c:v>
                </c:pt>
                <c:pt idx="5">
                  <c:v>111年5月</c:v>
                </c:pt>
                <c:pt idx="6">
                  <c:v>112年5月</c:v>
                </c:pt>
                <c:pt idx="7">
                  <c:v>113年5月</c:v>
                </c:pt>
                <c:pt idx="8">
                  <c:v>114年5月</c:v>
                </c:pt>
                <c:pt idx="9">
                  <c:v>115年5月(初步值)</c:v>
                </c:pt>
              </c:strCache>
            </c:strRef>
          </c:cat>
          <c:val>
            <c:numRef>
              <c:f>'115 圖表'!$D$21:$D$30</c:f>
              <c:numCache>
                <c:formatCode>0.00%</c:formatCode>
                <c:ptCount val="10"/>
                <c:pt idx="0">
                  <c:v>0.16155738525248656</c:v>
                </c:pt>
                <c:pt idx="1">
                  <c:v>0.21418096610342169</c:v>
                </c:pt>
                <c:pt idx="2">
                  <c:v>-0.14949111275303523</c:v>
                </c:pt>
                <c:pt idx="3">
                  <c:v>-0.19304607051570424</c:v>
                </c:pt>
                <c:pt idx="4">
                  <c:v>0.71337322867210828</c:v>
                </c:pt>
                <c:pt idx="5">
                  <c:v>-8.521644676566327E-2</c:v>
                </c:pt>
                <c:pt idx="6">
                  <c:v>-0.31844900884581817</c:v>
                </c:pt>
                <c:pt idx="7">
                  <c:v>1.323923821407616E-2</c:v>
                </c:pt>
                <c:pt idx="8">
                  <c:v>-7.2907408662426065E-2</c:v>
                </c:pt>
                <c:pt idx="9">
                  <c:v>4.856454816527965E-2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96B-45CD-9685-0343911A23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46856112"/>
        <c:axId val="314317872"/>
      </c:lineChart>
      <c:catAx>
        <c:axId val="164685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314319536"/>
        <c:crosses val="autoZero"/>
        <c:auto val="1"/>
        <c:lblAlgn val="ctr"/>
        <c:lblOffset val="100"/>
        <c:noMultiLvlLbl val="0"/>
      </c:catAx>
      <c:valAx>
        <c:axId val="314319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eaVert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r>
                  <a:rPr lang="zh-TW"/>
                  <a:t>億美元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eaVert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微軟正黑體" panose="020B0604030504040204" pitchFamily="34" charset="-120"/>
                  <a:ea typeface="微軟正黑體" panose="020B0604030504040204" pitchFamily="34" charset="-120"/>
                  <a:cs typeface="+mn-cs"/>
                </a:defRPr>
              </a:pPr>
              <a:endParaRPr lang="zh-TW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1646854912"/>
        <c:crosses val="autoZero"/>
        <c:crossBetween val="between"/>
      </c:valAx>
      <c:valAx>
        <c:axId val="314317872"/>
        <c:scaling>
          <c:orientation val="minMax"/>
          <c:max val="1"/>
          <c:min val="-0.60000000000000009"/>
        </c:scaling>
        <c:delete val="0"/>
        <c:axPos val="r"/>
        <c:title>
          <c:tx>
            <c:rich>
              <a:bodyPr rot="0" spcFirstLastPara="1" vertOverflow="ellipsis" vert="eaVert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r>
                  <a:rPr lang="zh-TW"/>
                  <a:t>年增率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eaVert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微軟正黑體" panose="020B0604030504040204" pitchFamily="34" charset="-120"/>
                  <a:ea typeface="微軟正黑體" panose="020B0604030504040204" pitchFamily="34" charset="-120"/>
                  <a:cs typeface="+mn-cs"/>
                </a:defRPr>
              </a:pPr>
              <a:endParaRPr lang="zh-TW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1646856112"/>
        <c:crosses val="max"/>
        <c:crossBetween val="between"/>
      </c:valAx>
      <c:catAx>
        <c:axId val="16468561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14317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微軟正黑體" panose="020B0604030504040204" pitchFamily="34" charset="-120"/>
          <a:ea typeface="微軟正黑體" panose="020B0604030504040204" pitchFamily="34" charset="-120"/>
        </a:defRPr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'115 圖表'!$O$36</c:f>
              <c:strCache>
                <c:ptCount val="1"/>
                <c:pt idx="0">
                  <c:v>出口金額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AE-4CEB-8CD3-8FD290FFDB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AE-4CEB-8CD3-8FD290FFDB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AE-4CEB-8CD3-8FD290FFDB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AE-4CEB-8CD3-8FD290FFDB2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AE-4CEB-8CD3-8FD290FFDB2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AE-4CEB-8CD3-8FD290FFDB24}"/>
              </c:ext>
            </c:extLst>
          </c:dPt>
          <c:dLbls>
            <c:dLbl>
              <c:idx val="0"/>
              <c:layout>
                <c:manualLayout>
                  <c:x val="-2.7705625187249387E-2"/>
                  <c:y val="5.730659025787966E-2"/>
                </c:manualLayout>
              </c:layout>
              <c:tx>
                <c:rich>
                  <a:bodyPr/>
                  <a:lstStyle/>
                  <a:p>
                    <a:fld id="{0D5BBB2D-53FC-43B4-817A-1D7E03896479}" type="CATEGORYNAME">
                      <a:rPr lang="zh-TW" altLang="en-US"/>
                      <a:pPr/>
                      <a:t>[類別名稱]</a:t>
                    </a:fld>
                    <a:r>
                      <a:rPr lang="en-US" altLang="zh-TW"/>
                      <a:t>, </a:t>
                    </a:r>
                    <a:fld id="{EFC9E24E-3DD5-48EE-BF6A-2C4293673751}" type="VALUE">
                      <a:rPr lang="en-US" altLang="zh-TW"/>
                      <a:pPr/>
                      <a:t>[值]</a:t>
                    </a:fld>
                    <a:r>
                      <a:rPr lang="zh-TW" altLang="en-US"/>
                      <a:t>億美元</a:t>
                    </a:r>
                    <a:r>
                      <a:rPr lang="en-US" altLang="zh-TW"/>
                      <a:t>, </a:t>
                    </a:r>
                    <a:fld id="{2A43B0C8-AEC1-4B97-9D5F-C87D55016AAD}" type="PERCENTAGE">
                      <a:rPr lang="en-US" altLang="zh-TW"/>
                      <a:pPr/>
                      <a:t>[百分比]</a:t>
                    </a:fld>
                    <a:endParaRPr lang="en-US" altLang="zh-TW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810956011320765"/>
                      <c:h val="0.1578494623655914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7AE-4CEB-8CD3-8FD290FFDB2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5C1D235-F54A-4901-8BEB-E080C76D5C6A}" type="CATEGORYNAME">
                      <a:rPr lang="zh-TW" altLang="en-US"/>
                      <a:pPr/>
                      <a:t>[類別名稱]</a:t>
                    </a:fld>
                    <a:r>
                      <a:rPr lang="en-US" altLang="zh-TW" baseline="0"/>
                      <a:t>, </a:t>
                    </a:r>
                    <a:fld id="{B618C514-E545-439A-93F8-70F4C7062B2D}" type="VALUE">
                      <a:rPr lang="en-US" altLang="zh-TW" baseline="0"/>
                      <a:pPr/>
                      <a:t>[值]</a:t>
                    </a:fld>
                    <a:r>
                      <a:rPr lang="zh-TW" altLang="en-US" baseline="0"/>
                      <a:t>億美元</a:t>
                    </a:r>
                    <a:r>
                      <a:rPr lang="en-US" altLang="zh-TW" baseline="0"/>
                      <a:t>, </a:t>
                    </a:r>
                    <a:fld id="{F2B5DAB4-5DEF-4097-A1F8-A12CD152FAD3}" type="PERCENTAGE">
                      <a:rPr lang="en-US" altLang="zh-TW" baseline="0"/>
                      <a:pPr/>
                      <a:t>[百分比]</a:t>
                    </a:fld>
                    <a:endParaRPr lang="en-US" altLang="zh-TW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7AE-4CEB-8CD3-8FD290FFDB24}"/>
                </c:ext>
              </c:extLst>
            </c:dLbl>
            <c:dLbl>
              <c:idx val="2"/>
              <c:layout>
                <c:manualLayout>
                  <c:x val="1.5638225618322652E-2"/>
                  <c:y val="-3.4594471987297884E-2"/>
                </c:manualLayout>
              </c:layout>
              <c:tx>
                <c:rich>
                  <a:bodyPr/>
                  <a:lstStyle/>
                  <a:p>
                    <a:fld id="{B4540AC7-2F20-49D4-AF75-058CC4A7836C}" type="CATEGORYNAME">
                      <a:rPr lang="zh-TW" altLang="en-US"/>
                      <a:pPr/>
                      <a:t>[類別名稱]</a:t>
                    </a:fld>
                    <a:r>
                      <a:rPr lang="en-US" altLang="zh-TW" baseline="0"/>
                      <a:t>, </a:t>
                    </a:r>
                    <a:fld id="{48D98729-ABE1-463A-B40A-B3377DE81CBD}" type="VALUE">
                      <a:rPr lang="en-US" altLang="zh-TW" baseline="0"/>
                      <a:pPr/>
                      <a:t>[值]</a:t>
                    </a:fld>
                    <a:r>
                      <a:rPr lang="zh-TW" altLang="en-US" baseline="0"/>
                      <a:t>億美元</a:t>
                    </a:r>
                    <a:r>
                      <a:rPr lang="en-US" altLang="zh-TW" baseline="0"/>
                      <a:t>, </a:t>
                    </a:r>
                    <a:fld id="{FA131C4B-C094-43CC-9B79-69EFF16B560C}" type="PERCENTAGE">
                      <a:rPr lang="en-US" altLang="zh-TW" baseline="0"/>
                      <a:pPr/>
                      <a:t>[百分比]</a:t>
                    </a:fld>
                    <a:endParaRPr lang="en-US" altLang="zh-TW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7AE-4CEB-8CD3-8FD290FFDB24}"/>
                </c:ext>
              </c:extLst>
            </c:dLbl>
            <c:dLbl>
              <c:idx val="3"/>
              <c:layout>
                <c:manualLayout>
                  <c:x val="4.617604197874884E-3"/>
                  <c:y val="-3.0107579145199442E-2"/>
                </c:manualLayout>
              </c:layout>
              <c:tx>
                <c:rich>
                  <a:bodyPr/>
                  <a:lstStyle/>
                  <a:p>
                    <a:fld id="{E487B1A9-3FCE-48B8-8D5C-045E5817CEAE}" type="CATEGORYNAME">
                      <a:rPr lang="zh-TW" altLang="en-US"/>
                      <a:pPr/>
                      <a:t>[類別名稱]</a:t>
                    </a:fld>
                    <a:r>
                      <a:rPr lang="en-US" altLang="zh-TW" baseline="0"/>
                      <a:t>, </a:t>
                    </a:r>
                    <a:fld id="{EECB034F-AB4F-4732-BF87-150C165056FA}" type="VALUE">
                      <a:rPr lang="en-US" altLang="zh-TW" baseline="0"/>
                      <a:pPr/>
                      <a:t>[值]</a:t>
                    </a:fld>
                    <a:r>
                      <a:rPr lang="zh-TW" altLang="en-US" baseline="0"/>
                      <a:t>億美元</a:t>
                    </a:r>
                    <a:r>
                      <a:rPr lang="en-US" altLang="zh-TW" baseline="0"/>
                      <a:t>, </a:t>
                    </a:r>
                    <a:fld id="{85177910-8B1F-471A-9F2A-19A9A13CDF23}" type="PERCENTAGE">
                      <a:rPr lang="en-US" altLang="zh-TW" baseline="0"/>
                      <a:pPr/>
                      <a:t>[百分比]</a:t>
                    </a:fld>
                    <a:endParaRPr lang="en-US" altLang="zh-TW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7AE-4CEB-8CD3-8FD290FFDB24}"/>
                </c:ext>
              </c:extLst>
            </c:dLbl>
            <c:dLbl>
              <c:idx val="4"/>
              <c:layout>
                <c:manualLayout>
                  <c:x val="-9.235208395749768E-3"/>
                  <c:y val="-9.2931735968534018E-2"/>
                </c:manualLayout>
              </c:layout>
              <c:tx>
                <c:rich>
                  <a:bodyPr/>
                  <a:lstStyle/>
                  <a:p>
                    <a:fld id="{476C0B26-70CA-47BB-8595-4360C188E16B}" type="CATEGORYNAME">
                      <a:rPr lang="zh-TW" altLang="en-US"/>
                      <a:pPr/>
                      <a:t>[類別名稱]</a:t>
                    </a:fld>
                    <a:r>
                      <a:rPr lang="en-US" altLang="zh-TW" baseline="0"/>
                      <a:t>, </a:t>
                    </a:r>
                    <a:fld id="{AA5566AA-9E58-4802-A93F-C4B325DF3358}" type="VALUE">
                      <a:rPr lang="en-US" altLang="zh-TW" baseline="0"/>
                      <a:pPr/>
                      <a:t>[值]</a:t>
                    </a:fld>
                    <a:r>
                      <a:rPr lang="zh-TW" altLang="en-US" baseline="0"/>
                      <a:t>億美元</a:t>
                    </a:r>
                    <a:r>
                      <a:rPr lang="en-US" altLang="zh-TW" baseline="0"/>
                      <a:t>, </a:t>
                    </a:r>
                    <a:fld id="{6A8116EE-AA3F-41DB-81F3-832BD24B65A6}" type="PERCENTAGE">
                      <a:rPr lang="en-US" altLang="zh-TW" baseline="0"/>
                      <a:pPr/>
                      <a:t>[百分比]</a:t>
                    </a:fld>
                    <a:endParaRPr lang="en-US" altLang="zh-TW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7AE-4CEB-8CD3-8FD290FFDB2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847D2563-6385-4DDF-BCE4-38CADA29C4E7}" type="CATEGORYNAME">
                      <a:rPr lang="zh-TW" altLang="en-US"/>
                      <a:pPr/>
                      <a:t>[類別名稱]</a:t>
                    </a:fld>
                    <a:r>
                      <a:rPr lang="en-US" altLang="zh-TW" baseline="0"/>
                      <a:t>, </a:t>
                    </a:r>
                    <a:fld id="{B3090A2C-D39A-460E-8CDC-E5EC6C84210C}" type="VALUE">
                      <a:rPr lang="en-US" altLang="zh-TW" baseline="0"/>
                      <a:pPr/>
                      <a:t>[值]</a:t>
                    </a:fld>
                    <a:r>
                      <a:rPr lang="zh-TW" altLang="en-US" baseline="0"/>
                      <a:t>億美元</a:t>
                    </a:r>
                    <a:r>
                      <a:rPr lang="en-US" altLang="zh-TW" baseline="0"/>
                      <a:t>, </a:t>
                    </a:r>
                    <a:fld id="{2BAB77C2-526F-4F1C-B574-87BE5846F87E}" type="PERCENTAGE">
                      <a:rPr lang="en-US" altLang="zh-TW" baseline="0"/>
                      <a:pPr/>
                      <a:t>[百分比]</a:t>
                    </a:fld>
                    <a:endParaRPr lang="en-US" altLang="zh-TW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A7AE-4CEB-8CD3-8FD290FFDB24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'115 圖表'!$N$37:$N$42</c:f>
              <c:strCache>
                <c:ptCount val="6"/>
                <c:pt idx="0">
                  <c:v>中國大陸</c:v>
                </c:pt>
                <c:pt idx="1">
                  <c:v>美國</c:v>
                </c:pt>
                <c:pt idx="2">
                  <c:v>日本</c:v>
                </c:pt>
                <c:pt idx="3">
                  <c:v>越南</c:v>
                </c:pt>
                <c:pt idx="4">
                  <c:v>香港</c:v>
                </c:pt>
                <c:pt idx="5">
                  <c:v>其他</c:v>
                </c:pt>
              </c:strCache>
            </c:strRef>
          </c:cat>
          <c:val>
            <c:numRef>
              <c:f>'115 圖表'!$O$37:$O$42</c:f>
              <c:numCache>
                <c:formatCode>0.00</c:formatCode>
                <c:ptCount val="6"/>
                <c:pt idx="0">
                  <c:v>3.7002799999999998</c:v>
                </c:pt>
                <c:pt idx="1">
                  <c:v>2.3525100000000001</c:v>
                </c:pt>
                <c:pt idx="2">
                  <c:v>1.75759</c:v>
                </c:pt>
                <c:pt idx="3">
                  <c:v>0.99650000000000005</c:v>
                </c:pt>
                <c:pt idx="4">
                  <c:v>0.59743999999999997</c:v>
                </c:pt>
                <c:pt idx="5" formatCode="0.00_ ">
                  <c:v>5.6570199999999993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AE-4CEB-8CD3-8FD290FFDB24}"/>
            </c:ext>
          </c:extLst>
        </c:ser>
        <c:ser>
          <c:idx val="1"/>
          <c:order val="1"/>
          <c:tx>
            <c:strRef>
              <c:f>'115 圖表'!$P$36</c:f>
              <c:strCache>
                <c:ptCount val="1"/>
                <c:pt idx="0">
                  <c:v>占比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A7AE-4CEB-8CD3-8FD290FFDB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A7AE-4CEB-8CD3-8FD290FFDB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A7AE-4CEB-8CD3-8FD290FFDB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4-A7AE-4CEB-8CD3-8FD290FFDB2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6-A7AE-4CEB-8CD3-8FD290FFDB2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8-A7AE-4CEB-8CD3-8FD290FFDB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endParaRPr lang="zh-TW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'115 圖表'!$N$37:$N$42</c:f>
              <c:strCache>
                <c:ptCount val="6"/>
                <c:pt idx="0">
                  <c:v>中國大陸</c:v>
                </c:pt>
                <c:pt idx="1">
                  <c:v>美國</c:v>
                </c:pt>
                <c:pt idx="2">
                  <c:v>日本</c:v>
                </c:pt>
                <c:pt idx="3">
                  <c:v>越南</c:v>
                </c:pt>
                <c:pt idx="4">
                  <c:v>香港</c:v>
                </c:pt>
                <c:pt idx="5">
                  <c:v>其他</c:v>
                </c:pt>
              </c:strCache>
            </c:strRef>
          </c:cat>
          <c:val>
            <c:numRef>
              <c:f>'115 圖表'!$P$37:$P$42</c:f>
              <c:numCache>
                <c:formatCode>0.00%</c:formatCode>
                <c:ptCount val="6"/>
                <c:pt idx="0">
                  <c:v>0.24568066320792173</c:v>
                </c:pt>
                <c:pt idx="1">
                  <c:v>0.15619526549430529</c:v>
                </c:pt>
                <c:pt idx="2">
                  <c:v>0.11669546003210871</c:v>
                </c:pt>
                <c:pt idx="3">
                  <c:v>6.6162771705572027E-2</c:v>
                </c:pt>
                <c:pt idx="4">
                  <c:v>3.9667121252159501E-2</c:v>
                </c:pt>
                <c:pt idx="5">
                  <c:v>0.37559871830793273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A7AE-4CEB-8CD3-8FD290FFDB2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defRPr>
          </a:pPr>
          <a:endParaRPr lang="zh-TW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微軟正黑體" panose="020B0604030504040204" pitchFamily="34" charset="-120"/>
          <a:ea typeface="微軟正黑體" panose="020B0604030504040204" pitchFamily="34" charset="-120"/>
        </a:defRPr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'[第39章全6碼_出口總值(含復出口)_10505~11505_全部國家_金額(美元&amp;新台幣)_重量(公噸&amp;公斤)v2.xlsx]產品分析390761'!$Q$89</c:f>
              <c:strCache>
                <c:ptCount val="1"/>
                <c:pt idx="0">
                  <c:v>出口金額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'[第39章全6碼_出口總值(含復出口)_10505~11505_全部國家_金額(美元&amp;新台幣)_重量(公噸&amp;公斤)v2.xlsx]產品分析390761'!$R$88:$V$88</c:f>
              <c:strCache>
                <c:ptCount val="5"/>
                <c:pt idx="0">
                  <c:v>111年5月</c:v>
                </c:pt>
                <c:pt idx="1">
                  <c:v>112年5月</c:v>
                </c:pt>
                <c:pt idx="2">
                  <c:v>113年5月</c:v>
                </c:pt>
                <c:pt idx="3">
                  <c:v>114年5月</c:v>
                </c:pt>
                <c:pt idx="4">
                  <c:v>115年5月</c:v>
                </c:pt>
              </c:strCache>
            </c:strRef>
          </c:cat>
          <c:val>
            <c:numRef>
              <c:f>'[第39章全6碼_出口總值(含復出口)_10505~11505_全部國家_金額(美元&amp;新台幣)_重量(公噸&amp;公斤)v2.xlsx]產品分析390761'!$R$89:$V$89</c:f>
              <c:numCache>
                <c:formatCode>0.00</c:formatCode>
                <c:ptCount val="5"/>
                <c:pt idx="0">
                  <c:v>1.1821900000000001</c:v>
                </c:pt>
                <c:pt idx="1">
                  <c:v>1.0708599999999999</c:v>
                </c:pt>
                <c:pt idx="2">
                  <c:v>0.84304999999999997</c:v>
                </c:pt>
                <c:pt idx="3">
                  <c:v>0.60421999999999998</c:v>
                </c:pt>
                <c:pt idx="4">
                  <c:v>0.96123999999999998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91-4F51-8D19-560AD9CBB5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2818576"/>
        <c:axId val="426368704"/>
      </c:barChart>
      <c:lineChart>
        <c:grouping val="standard"/>
        <c:varyColors val="0"/>
        <c:ser>
          <c:idx val="1"/>
          <c:order val="1"/>
          <c:tx>
            <c:strRef>
              <c:f>'[第39章全6碼_出口總值(含復出口)_10505~11505_全部國家_金額(美元&amp;新台幣)_重量(公噸&amp;公斤)v2.xlsx]產品分析390761'!$Q$90</c:f>
              <c:strCache>
                <c:ptCount val="1"/>
                <c:pt idx="0">
                  <c:v>年增率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'[第39章全6碼_出口總值(含復出口)_10505~11505_全部國家_金額(美元&amp;新台幣)_重量(公噸&amp;公斤)v2.xlsx]產品分析390761'!$R$88:$V$88</c:f>
              <c:strCache>
                <c:ptCount val="5"/>
                <c:pt idx="0">
                  <c:v>111年5月</c:v>
                </c:pt>
                <c:pt idx="1">
                  <c:v>112年5月</c:v>
                </c:pt>
                <c:pt idx="2">
                  <c:v>113年5月</c:v>
                </c:pt>
                <c:pt idx="3">
                  <c:v>114年5月</c:v>
                </c:pt>
                <c:pt idx="4">
                  <c:v>115年5月</c:v>
                </c:pt>
              </c:strCache>
            </c:strRef>
          </c:cat>
          <c:val>
            <c:numRef>
              <c:f>'[第39章全6碼_出口總值(含復出口)_10505~11505_全部國家_金額(美元&amp;新台幣)_重量(公噸&amp;公斤)v2.xlsx]產品分析390761'!$R$90:$V$90</c:f>
              <c:numCache>
                <c:formatCode>0.00%</c:formatCode>
                <c:ptCount val="5"/>
                <c:pt idx="0">
                  <c:v>0.36606193667668147</c:v>
                </c:pt>
                <c:pt idx="1">
                  <c:v>-9.4172679518520833E-2</c:v>
                </c:pt>
                <c:pt idx="2">
                  <c:v>-0.21273555833629043</c:v>
                </c:pt>
                <c:pt idx="3">
                  <c:v>-0.28329280588339956</c:v>
                </c:pt>
                <c:pt idx="4">
                  <c:v>0.59087749495216979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91-4F51-8D19-560AD9CBB5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2038560"/>
        <c:axId val="426369952"/>
      </c:lineChart>
      <c:catAx>
        <c:axId val="143281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426368704"/>
        <c:crosses val="autoZero"/>
        <c:auto val="1"/>
        <c:lblAlgn val="ctr"/>
        <c:lblOffset val="100"/>
        <c:noMultiLvlLbl val="0"/>
      </c:catAx>
      <c:valAx>
        <c:axId val="42636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eaVert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r>
                  <a:rPr lang="zh-TW"/>
                  <a:t>出口金額</a:t>
                </a:r>
                <a:r>
                  <a:rPr lang="en-US"/>
                  <a:t>(</a:t>
                </a:r>
                <a:r>
                  <a:rPr lang="zh-TW"/>
                  <a:t>億美元</a:t>
                </a:r>
                <a:r>
                  <a:rPr lang="en-US"/>
                  <a:t>)</a:t>
                </a:r>
                <a:endParaRPr lang="zh-TW"/>
              </a:p>
            </c:rich>
          </c:tx>
          <c:layout>
            <c:manualLayout>
              <c:xMode val="edge"/>
              <c:yMode val="edge"/>
              <c:x val="6.2850729517396189E-2"/>
              <c:y val="0.311631191262382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eaVert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微軟正黑體" panose="020B0604030504040204" pitchFamily="34" charset="-120"/>
                  <a:ea typeface="微軟正黑體" panose="020B0604030504040204" pitchFamily="34" charset="-120"/>
                  <a:cs typeface="+mn-cs"/>
                </a:defRPr>
              </a:pPr>
              <a:endParaRPr lang="zh-TW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1432818576"/>
        <c:crosses val="autoZero"/>
        <c:crossBetween val="between"/>
      </c:valAx>
      <c:valAx>
        <c:axId val="426369952"/>
        <c:scaling>
          <c:orientation val="minMax"/>
          <c:min val="-0.60000000000000009"/>
        </c:scaling>
        <c:delete val="0"/>
        <c:axPos val="r"/>
        <c:title>
          <c:tx>
            <c:rich>
              <a:bodyPr rot="0" spcFirstLastPara="1" vertOverflow="ellipsis" vert="eaVert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r>
                  <a:rPr lang="zh-TW"/>
                  <a:t>年增率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eaVert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微軟正黑體" panose="020B0604030504040204" pitchFamily="34" charset="-120"/>
                  <a:ea typeface="微軟正黑體" panose="020B0604030504040204" pitchFamily="34" charset="-120"/>
                  <a:cs typeface="+mn-cs"/>
                </a:defRPr>
              </a:pPr>
              <a:endParaRPr lang="zh-TW"/>
            </a:p>
          </c:txPr>
        </c:title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1442038560"/>
        <c:crosses val="max"/>
        <c:crossBetween val="between"/>
      </c:valAx>
      <c:catAx>
        <c:axId val="14420385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2636995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微軟正黑體" panose="020B0604030504040204" pitchFamily="34" charset="-120"/>
          <a:ea typeface="微軟正黑體" panose="020B0604030504040204" pitchFamily="34" charset="-120"/>
        </a:defRPr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9dc2f8-d027-4982-96b9-2bb86266c7a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EF430E7BFD9A6449A76B58DC880C78C" ma:contentTypeVersion="10" ma:contentTypeDescription="建立新的文件。" ma:contentTypeScope="" ma:versionID="33297efe868d899177fc3fe820ca300a">
  <xsd:schema xmlns:xsd="http://www.w3.org/2001/XMLSchema" xmlns:xs="http://www.w3.org/2001/XMLSchema" xmlns:p="http://schemas.microsoft.com/office/2006/metadata/properties" xmlns:ns2="539dc2f8-d027-4982-96b9-2bb86266c7a5" targetNamespace="http://schemas.microsoft.com/office/2006/metadata/properties" ma:root="true" ma:fieldsID="f570b559ade4c38fde138c1ba75b154c" ns2:_="">
    <xsd:import namespace="539dc2f8-d027-4982-96b9-2bb86266c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c2f8-d027-4982-96b9-2bb86266c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影像標籤" ma:readOnly="false" ma:fieldId="{5cf76f15-5ced-4ddc-b409-7134ff3c332f}" ma:taxonomyMulti="true" ma:sspId="573c143a-5515-408f-beb1-77a74293c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41A94-3C5E-4B59-B1BE-4587B0C1C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7547F8-84AB-4E75-BA3D-EA5579C0C194}">
  <ds:schemaRefs>
    <ds:schemaRef ds:uri="http://schemas.microsoft.com/office/2006/metadata/properties"/>
    <ds:schemaRef ds:uri="http://schemas.microsoft.com/office/infopath/2007/PartnerControls"/>
    <ds:schemaRef ds:uri="bd6a3589-a97c-431f-94fc-a92cb770e3e9"/>
  </ds:schemaRefs>
</ds:datastoreItem>
</file>

<file path=customXml/itemProps3.xml><?xml version="1.0" encoding="utf-8"?>
<ds:datastoreItem xmlns:ds="http://schemas.openxmlformats.org/officeDocument/2006/customXml" ds:itemID="{07D3000C-1560-49BA-BA7A-4B1589E35B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7122BC-EEA1-4D49-94EF-D94E038D0F84}"/>
</file>

<file path=docMetadata/LabelInfo.xml><?xml version="1.0" encoding="utf-8"?>
<clbl:labelList xmlns:clbl="http://schemas.microsoft.com/office/2020/mipLabelMetadata">
  <clbl:label id="{1e60a43e-b414-4c11-95e6-ffd35bcc52d0}" enabled="0" method="" siteId="{1e60a43e-b414-4c11-95e6-ffd35bcc52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1384</Words>
  <Characters>7891</Characters>
  <Application>Microsoft Office Word</Application>
  <DocSecurity>0</DocSecurity>
  <Lines>65</Lines>
  <Paragraphs>18</Paragraphs>
  <ScaleCrop>false</ScaleCrop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Ivy.chen[陳婉玲]</dc:creator>
  <cp:keywords/>
  <dc:description/>
  <cp:lastModifiedBy>蕭斯元 Patrick Hsiao</cp:lastModifiedBy>
  <cp:revision>58</cp:revision>
  <cp:lastPrinted>2026-03-17T04:53:00Z</cp:lastPrinted>
  <dcterms:created xsi:type="dcterms:W3CDTF">2026-06-22T06:14:00Z</dcterms:created>
  <dcterms:modified xsi:type="dcterms:W3CDTF">2026-08-17T08:18:00Z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0x0101004EF430E7BFD9A6449A76B58DC880C78C</vt:lpwstr>
  </property>
</Properties>
</file>